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B2FA" w14:textId="77777777" w:rsidR="00086EF0" w:rsidRDefault="00086EF0">
      <w:pPr>
        <w:pStyle w:val="BodyText"/>
        <w:ind w:left="107"/>
        <w:rPr>
          <w:rFonts w:ascii="Times New Roman"/>
        </w:rPr>
      </w:pPr>
    </w:p>
    <w:p w14:paraId="0EE00D74" w14:textId="6C9BE673" w:rsidR="006567DF" w:rsidRDefault="00000000">
      <w:pPr>
        <w:pStyle w:val="BodyText"/>
        <w:ind w:left="107"/>
        <w:rPr>
          <w:rFonts w:ascii="Times New Roman"/>
        </w:rPr>
      </w:pPr>
      <w:r>
        <w:rPr>
          <w:rFonts w:ascii="Times New Roman"/>
          <w:noProof/>
        </w:rPr>
        <w:drawing>
          <wp:inline distT="0" distB="0" distL="0" distR="0" wp14:anchorId="0EE00DCA" wp14:editId="0EE00DCB">
            <wp:extent cx="3455586" cy="10029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55586" cy="1002982"/>
                    </a:xfrm>
                    <a:prstGeom prst="rect">
                      <a:avLst/>
                    </a:prstGeom>
                  </pic:spPr>
                </pic:pic>
              </a:graphicData>
            </a:graphic>
          </wp:inline>
        </w:drawing>
      </w:r>
    </w:p>
    <w:p w14:paraId="0EE00D75" w14:textId="77777777" w:rsidR="006567DF" w:rsidRDefault="00000000">
      <w:pPr>
        <w:pStyle w:val="Heading1"/>
        <w:spacing w:before="164" w:line="477" w:lineRule="auto"/>
        <w:ind w:right="5181"/>
      </w:pPr>
      <w:r>
        <w:t>The Home Rental Service Explanatory Notes for New Tenants</w:t>
      </w:r>
    </w:p>
    <w:p w14:paraId="0EE00D76" w14:textId="77777777" w:rsidR="006567DF" w:rsidRDefault="00000000">
      <w:pPr>
        <w:spacing w:before="7"/>
        <w:ind w:left="113"/>
        <w:rPr>
          <w:b/>
          <w:sz w:val="20"/>
        </w:rPr>
      </w:pPr>
      <w:r>
        <w:rPr>
          <w:b/>
          <w:sz w:val="20"/>
        </w:rPr>
        <w:t>Please read and understand these notes before proceeding with any application.</w:t>
      </w:r>
    </w:p>
    <w:p w14:paraId="0EE00D77" w14:textId="77777777" w:rsidR="006567DF" w:rsidRDefault="006567DF">
      <w:pPr>
        <w:pStyle w:val="BodyText"/>
        <w:spacing w:before="10"/>
        <w:rPr>
          <w:b/>
          <w:sz w:val="19"/>
        </w:rPr>
      </w:pPr>
    </w:p>
    <w:p w14:paraId="0EE00D78" w14:textId="77777777" w:rsidR="006567DF" w:rsidRDefault="00000000">
      <w:pPr>
        <w:spacing w:before="1"/>
        <w:ind w:left="113"/>
        <w:jc w:val="both"/>
        <w:rPr>
          <w:b/>
          <w:sz w:val="20"/>
        </w:rPr>
      </w:pPr>
      <w:r>
        <w:rPr>
          <w:b/>
          <w:color w:val="3E5019"/>
          <w:sz w:val="20"/>
        </w:rPr>
        <w:t xml:space="preserve">Applying to Rent a </w:t>
      </w:r>
      <w:proofErr w:type="gramStart"/>
      <w:r>
        <w:rPr>
          <w:b/>
          <w:color w:val="3E5019"/>
          <w:sz w:val="20"/>
        </w:rPr>
        <w:t>Property</w:t>
      </w:r>
      <w:proofErr w:type="gramEnd"/>
    </w:p>
    <w:p w14:paraId="0EE00D79" w14:textId="77777777" w:rsidR="006567DF" w:rsidRDefault="00000000">
      <w:pPr>
        <w:pStyle w:val="BodyText"/>
        <w:spacing w:before="20" w:line="247" w:lineRule="auto"/>
        <w:ind w:left="138" w:right="118" w:hanging="10"/>
        <w:jc w:val="both"/>
      </w:pPr>
      <w:r>
        <w:t>When you have chosen a home, we will need a few details from you so that we can</w:t>
      </w:r>
      <w:r>
        <w:rPr>
          <w:spacing w:val="-35"/>
        </w:rPr>
        <w:t xml:space="preserve"> </w:t>
      </w:r>
      <w:r>
        <w:t xml:space="preserve">speak to the Landlord about your application and gain their approval to start the referencing process. All we need initially is an email to be sent to </w:t>
      </w:r>
      <w:hyperlink r:id="rId8">
        <w:r>
          <w:rPr>
            <w:color w:val="0563C1"/>
            <w:u w:val="single" w:color="0563C1"/>
          </w:rPr>
          <w:t>don@clarkhomes.co.uk</w:t>
        </w:r>
        <w:r>
          <w:rPr>
            <w:color w:val="0563C1"/>
          </w:rPr>
          <w:t xml:space="preserve"> </w:t>
        </w:r>
      </w:hyperlink>
      <w:r>
        <w:t>with the following</w:t>
      </w:r>
      <w:r>
        <w:rPr>
          <w:spacing w:val="-3"/>
        </w:rPr>
        <w:t xml:space="preserve"> </w:t>
      </w:r>
      <w:r>
        <w:t>information:</w:t>
      </w:r>
    </w:p>
    <w:p w14:paraId="0EE00D7A" w14:textId="77777777" w:rsidR="006567DF" w:rsidRDefault="006567DF">
      <w:pPr>
        <w:pStyle w:val="BodyText"/>
        <w:spacing w:before="11"/>
        <w:rPr>
          <w:sz w:val="19"/>
        </w:rPr>
      </w:pPr>
    </w:p>
    <w:p w14:paraId="0EE00D7B" w14:textId="77777777" w:rsidR="006567DF" w:rsidRDefault="00000000">
      <w:pPr>
        <w:pStyle w:val="ListParagraph"/>
        <w:numPr>
          <w:ilvl w:val="0"/>
          <w:numId w:val="1"/>
        </w:numPr>
        <w:tabs>
          <w:tab w:val="left" w:pos="488"/>
          <w:tab w:val="left" w:pos="489"/>
        </w:tabs>
        <w:spacing w:before="0"/>
        <w:ind w:hanging="361"/>
        <w:rPr>
          <w:sz w:val="20"/>
        </w:rPr>
      </w:pPr>
      <w:r>
        <w:rPr>
          <w:sz w:val="20"/>
        </w:rPr>
        <w:t>Date you would like the tenancy to</w:t>
      </w:r>
      <w:r>
        <w:rPr>
          <w:spacing w:val="-10"/>
          <w:sz w:val="20"/>
        </w:rPr>
        <w:t xml:space="preserve"> </w:t>
      </w:r>
      <w:r>
        <w:rPr>
          <w:sz w:val="20"/>
        </w:rPr>
        <w:t>start</w:t>
      </w:r>
    </w:p>
    <w:p w14:paraId="0EE00D7C" w14:textId="77777777" w:rsidR="006567DF" w:rsidRDefault="00000000">
      <w:pPr>
        <w:pStyle w:val="ListParagraph"/>
        <w:numPr>
          <w:ilvl w:val="0"/>
          <w:numId w:val="1"/>
        </w:numPr>
        <w:tabs>
          <w:tab w:val="left" w:pos="488"/>
          <w:tab w:val="left" w:pos="489"/>
        </w:tabs>
        <w:ind w:hanging="361"/>
        <w:rPr>
          <w:sz w:val="20"/>
        </w:rPr>
      </w:pPr>
      <w:r>
        <w:rPr>
          <w:sz w:val="20"/>
        </w:rPr>
        <w:t>How long you would like the tenancy to</w:t>
      </w:r>
      <w:r>
        <w:rPr>
          <w:spacing w:val="-11"/>
          <w:sz w:val="20"/>
        </w:rPr>
        <w:t xml:space="preserve"> </w:t>
      </w:r>
      <w:r>
        <w:rPr>
          <w:sz w:val="20"/>
        </w:rPr>
        <w:t>be</w:t>
      </w:r>
    </w:p>
    <w:p w14:paraId="0EE00D7D" w14:textId="77777777" w:rsidR="006567DF" w:rsidRDefault="00000000">
      <w:pPr>
        <w:pStyle w:val="ListParagraph"/>
        <w:numPr>
          <w:ilvl w:val="0"/>
          <w:numId w:val="1"/>
        </w:numPr>
        <w:tabs>
          <w:tab w:val="left" w:pos="488"/>
          <w:tab w:val="left" w:pos="489"/>
        </w:tabs>
        <w:spacing w:before="11" w:line="247" w:lineRule="auto"/>
        <w:ind w:right="118"/>
        <w:rPr>
          <w:sz w:val="20"/>
        </w:rPr>
      </w:pPr>
      <w:r>
        <w:rPr>
          <w:sz w:val="20"/>
        </w:rPr>
        <w:t xml:space="preserve">Full names, mobile </w:t>
      </w:r>
      <w:proofErr w:type="gramStart"/>
      <w:r>
        <w:rPr>
          <w:sz w:val="20"/>
        </w:rPr>
        <w:t>numbers</w:t>
      </w:r>
      <w:proofErr w:type="gramEnd"/>
      <w:r>
        <w:rPr>
          <w:sz w:val="20"/>
        </w:rPr>
        <w:t xml:space="preserve"> and email addresses for all persons (over 18) who would be living at the property and what they do for a</w:t>
      </w:r>
      <w:r>
        <w:rPr>
          <w:spacing w:val="-11"/>
          <w:sz w:val="20"/>
        </w:rPr>
        <w:t xml:space="preserve"> </w:t>
      </w:r>
      <w:r>
        <w:rPr>
          <w:sz w:val="20"/>
        </w:rPr>
        <w:t>living.</w:t>
      </w:r>
    </w:p>
    <w:p w14:paraId="0EE00D7E" w14:textId="77777777" w:rsidR="006567DF" w:rsidRDefault="00000000">
      <w:pPr>
        <w:pStyle w:val="ListParagraph"/>
        <w:numPr>
          <w:ilvl w:val="0"/>
          <w:numId w:val="1"/>
        </w:numPr>
        <w:tabs>
          <w:tab w:val="left" w:pos="488"/>
          <w:tab w:val="left" w:pos="489"/>
        </w:tabs>
        <w:spacing w:before="3"/>
        <w:ind w:hanging="361"/>
        <w:rPr>
          <w:sz w:val="20"/>
        </w:rPr>
      </w:pPr>
      <w:r>
        <w:rPr>
          <w:sz w:val="20"/>
        </w:rPr>
        <w:t>Full current postal</w:t>
      </w:r>
      <w:r>
        <w:rPr>
          <w:spacing w:val="-3"/>
          <w:sz w:val="20"/>
        </w:rPr>
        <w:t xml:space="preserve"> </w:t>
      </w:r>
      <w:r>
        <w:rPr>
          <w:sz w:val="20"/>
        </w:rPr>
        <w:t>address</w:t>
      </w:r>
    </w:p>
    <w:p w14:paraId="0EE00D7F" w14:textId="57CE0E07" w:rsidR="006567DF" w:rsidRDefault="00000000">
      <w:pPr>
        <w:pStyle w:val="ListParagraph"/>
        <w:numPr>
          <w:ilvl w:val="0"/>
          <w:numId w:val="1"/>
        </w:numPr>
        <w:tabs>
          <w:tab w:val="left" w:pos="488"/>
          <w:tab w:val="left" w:pos="489"/>
        </w:tabs>
        <w:ind w:hanging="361"/>
        <w:rPr>
          <w:sz w:val="20"/>
        </w:rPr>
      </w:pPr>
      <w:r>
        <w:rPr>
          <w:sz w:val="20"/>
        </w:rPr>
        <w:t>Copies of current</w:t>
      </w:r>
      <w:r>
        <w:rPr>
          <w:spacing w:val="-4"/>
          <w:sz w:val="20"/>
        </w:rPr>
        <w:t xml:space="preserve"> </w:t>
      </w:r>
      <w:r>
        <w:rPr>
          <w:sz w:val="20"/>
        </w:rPr>
        <w:t>passport(s)</w:t>
      </w:r>
      <w:r w:rsidR="008051BF">
        <w:rPr>
          <w:sz w:val="20"/>
        </w:rPr>
        <w:t>.</w:t>
      </w:r>
      <w:r w:rsidR="00313C96">
        <w:rPr>
          <w:sz w:val="20"/>
        </w:rPr>
        <w:t xml:space="preserve"> T</w:t>
      </w:r>
      <w:r w:rsidR="00313C96">
        <w:rPr>
          <w:rFonts w:ascii="Calibri" w:hAnsi="Calibri" w:cs="Calibri"/>
          <w:color w:val="000000"/>
        </w:rPr>
        <w:t xml:space="preserve">o satisfy the legal requirement for the Right to rent, Entry Visas, permanent residence card and Government share codes are required along with passport copies. If you have a Biometric Residence Permit, a Biometric Residence Card, status under the EU Settlement Scheme or have been granted status digitally via an </w:t>
      </w:r>
      <w:proofErr w:type="spellStart"/>
      <w:r w:rsidR="00313C96">
        <w:rPr>
          <w:rFonts w:ascii="Calibri" w:hAnsi="Calibri" w:cs="Calibri"/>
          <w:color w:val="000000"/>
        </w:rPr>
        <w:t>eVisa</w:t>
      </w:r>
      <w:proofErr w:type="spellEnd"/>
      <w:r w:rsidR="00313C96">
        <w:rPr>
          <w:rFonts w:ascii="Calibri" w:hAnsi="Calibri" w:cs="Calibri"/>
          <w:color w:val="000000"/>
        </w:rPr>
        <w:t>, you can</w:t>
      </w:r>
      <w:r w:rsidR="00313C96">
        <w:rPr>
          <w:rStyle w:val="apple-converted-space"/>
          <w:rFonts w:ascii="Calibri" w:hAnsi="Calibri" w:cs="Calibri"/>
          <w:color w:val="000000"/>
        </w:rPr>
        <w:t> </w:t>
      </w:r>
      <w:r w:rsidR="00313C96">
        <w:rPr>
          <w:rFonts w:ascii="Calibri" w:hAnsi="Calibri" w:cs="Calibri"/>
          <w:b/>
          <w:bCs/>
          <w:color w:val="000000"/>
          <w:u w:val="single"/>
        </w:rPr>
        <w:t>only</w:t>
      </w:r>
      <w:r w:rsidR="00313C96">
        <w:rPr>
          <w:rStyle w:val="apple-converted-space"/>
          <w:rFonts w:ascii="Calibri" w:hAnsi="Calibri" w:cs="Calibri"/>
          <w:b/>
          <w:bCs/>
          <w:color w:val="000000"/>
          <w:u w:val="single"/>
        </w:rPr>
        <w:t> </w:t>
      </w:r>
      <w:r w:rsidR="00313C96">
        <w:rPr>
          <w:rFonts w:ascii="Calibri" w:hAnsi="Calibri" w:cs="Calibri"/>
          <w:color w:val="000000"/>
        </w:rPr>
        <w:t>evidence your right to rent using the online checking service. We would advise this is read:</w:t>
      </w:r>
      <w:r w:rsidR="00313C96">
        <w:rPr>
          <w:rStyle w:val="apple-converted-space"/>
          <w:rFonts w:ascii="Calibri" w:hAnsi="Calibri" w:cs="Calibri"/>
          <w:color w:val="000000"/>
        </w:rPr>
        <w:t> </w:t>
      </w:r>
      <w:hyperlink r:id="rId9" w:anchor="digital-evidence-of-immigration-status" w:tooltip="https://www.gov.uk/government/publications/right-to-rent-document-checks-a-user-guide/right-to-rent-checks-a-guide-to-immigration-documents-for-tenants-and-landlords-accessible#digital-evidence-of-immigration-status" w:history="1">
        <w:r w:rsidR="00313C96">
          <w:rPr>
            <w:rStyle w:val="Hyperlink"/>
            <w:rFonts w:ascii="Calibri" w:hAnsi="Calibri" w:cs="Calibri"/>
          </w:rPr>
          <w:t>https://www.gov.uk/government/publications/right-to-rent-document-checks-a-user-guide/right-to-rent-checks-a-guide-to-immigration-documents-for-tenants-and-landlords-accessible#digital-evidence-of-immigration-status</w:t>
        </w:r>
      </w:hyperlink>
    </w:p>
    <w:p w14:paraId="0EE00D80" w14:textId="77777777" w:rsidR="006567DF" w:rsidRDefault="006567DF">
      <w:pPr>
        <w:pStyle w:val="BodyText"/>
        <w:spacing w:before="3"/>
      </w:pPr>
    </w:p>
    <w:p w14:paraId="0EE00D81" w14:textId="77777777" w:rsidR="006567DF" w:rsidRDefault="00000000">
      <w:pPr>
        <w:pStyle w:val="BodyText"/>
        <w:spacing w:line="249" w:lineRule="auto"/>
        <w:ind w:left="128" w:right="115"/>
        <w:jc w:val="both"/>
      </w:pPr>
      <w:r>
        <w:t>Please note: If multiple applications are received on the property, all applications will be put forward to the Landlord for their decision on which application they would like to accept. Any unsuccessful applicants will be informed as soon as possible.</w:t>
      </w:r>
    </w:p>
    <w:p w14:paraId="0EE00D82" w14:textId="77777777" w:rsidR="006567DF" w:rsidRDefault="006567DF">
      <w:pPr>
        <w:pStyle w:val="BodyText"/>
        <w:spacing w:before="5"/>
        <w:rPr>
          <w:sz w:val="19"/>
        </w:rPr>
      </w:pPr>
    </w:p>
    <w:p w14:paraId="0EE00D83" w14:textId="77777777" w:rsidR="006567DF" w:rsidRDefault="00000000">
      <w:pPr>
        <w:pStyle w:val="Heading1"/>
        <w:jc w:val="both"/>
      </w:pPr>
      <w:r>
        <w:rPr>
          <w:color w:val="3E5019"/>
        </w:rPr>
        <w:t>References and Guarantors</w:t>
      </w:r>
    </w:p>
    <w:p w14:paraId="0EE00D84" w14:textId="77777777" w:rsidR="006567DF" w:rsidRDefault="00000000">
      <w:pPr>
        <w:pStyle w:val="BodyText"/>
        <w:spacing w:before="16" w:line="249" w:lineRule="auto"/>
        <w:ind w:left="123" w:right="144" w:hanging="10"/>
        <w:jc w:val="both"/>
      </w:pPr>
      <w:r>
        <w:t>We use a company called Van Mildert to take up the references. All applicants will</w:t>
      </w:r>
      <w:r>
        <w:rPr>
          <w:spacing w:val="-32"/>
        </w:rPr>
        <w:t xml:space="preserve"> </w:t>
      </w:r>
      <w:r>
        <w:t>receive an</w:t>
      </w:r>
      <w:r>
        <w:rPr>
          <w:spacing w:val="-6"/>
        </w:rPr>
        <w:t xml:space="preserve"> </w:t>
      </w:r>
      <w:r>
        <w:t>email</w:t>
      </w:r>
      <w:r>
        <w:rPr>
          <w:spacing w:val="-5"/>
        </w:rPr>
        <w:t xml:space="preserve"> </w:t>
      </w:r>
      <w:r>
        <w:t>from</w:t>
      </w:r>
      <w:r>
        <w:rPr>
          <w:spacing w:val="-6"/>
        </w:rPr>
        <w:t xml:space="preserve"> </w:t>
      </w:r>
      <w:r>
        <w:t>Van</w:t>
      </w:r>
      <w:r>
        <w:rPr>
          <w:spacing w:val="-5"/>
        </w:rPr>
        <w:t xml:space="preserve"> </w:t>
      </w:r>
      <w:r>
        <w:t>Mildert</w:t>
      </w:r>
      <w:r>
        <w:rPr>
          <w:spacing w:val="-5"/>
        </w:rPr>
        <w:t xml:space="preserve"> </w:t>
      </w:r>
      <w:r>
        <w:t>with</w:t>
      </w:r>
      <w:r>
        <w:rPr>
          <w:spacing w:val="-5"/>
        </w:rPr>
        <w:t xml:space="preserve"> </w:t>
      </w:r>
      <w:r>
        <w:t>a</w:t>
      </w:r>
      <w:r>
        <w:rPr>
          <w:spacing w:val="-5"/>
        </w:rPr>
        <w:t xml:space="preserve"> </w:t>
      </w:r>
      <w:r>
        <w:t>link</w:t>
      </w:r>
      <w:r>
        <w:rPr>
          <w:spacing w:val="-6"/>
        </w:rPr>
        <w:t xml:space="preserve"> </w:t>
      </w:r>
      <w:r>
        <w:t>to</w:t>
      </w:r>
      <w:r>
        <w:rPr>
          <w:spacing w:val="-5"/>
        </w:rPr>
        <w:t xml:space="preserve"> </w:t>
      </w:r>
      <w:r>
        <w:t>an</w:t>
      </w:r>
      <w:r>
        <w:rPr>
          <w:spacing w:val="-5"/>
        </w:rPr>
        <w:t xml:space="preserve"> </w:t>
      </w:r>
      <w:r>
        <w:t>application</w:t>
      </w:r>
      <w:r>
        <w:rPr>
          <w:spacing w:val="-5"/>
        </w:rPr>
        <w:t xml:space="preserve"> </w:t>
      </w:r>
      <w:r>
        <w:t>form,</w:t>
      </w:r>
      <w:r>
        <w:rPr>
          <w:spacing w:val="-5"/>
        </w:rPr>
        <w:t xml:space="preserve"> </w:t>
      </w:r>
      <w:r>
        <w:t>which</w:t>
      </w:r>
      <w:r>
        <w:rPr>
          <w:spacing w:val="-5"/>
        </w:rPr>
        <w:t xml:space="preserve"> </w:t>
      </w:r>
      <w:r>
        <w:t>needs</w:t>
      </w:r>
      <w:r>
        <w:rPr>
          <w:spacing w:val="-5"/>
        </w:rPr>
        <w:t xml:space="preserve"> </w:t>
      </w:r>
      <w:r>
        <w:t>to</w:t>
      </w:r>
      <w:r>
        <w:rPr>
          <w:spacing w:val="-8"/>
        </w:rPr>
        <w:t xml:space="preserve"> </w:t>
      </w:r>
      <w:r>
        <w:t>be</w:t>
      </w:r>
      <w:r>
        <w:rPr>
          <w:spacing w:val="-5"/>
        </w:rPr>
        <w:t xml:space="preserve"> </w:t>
      </w:r>
      <w:r>
        <w:t>completed and submitted for the referencing process to</w:t>
      </w:r>
      <w:r>
        <w:rPr>
          <w:spacing w:val="-9"/>
        </w:rPr>
        <w:t xml:space="preserve"> </w:t>
      </w:r>
      <w:r>
        <w:t>commence.</w:t>
      </w:r>
    </w:p>
    <w:p w14:paraId="0EE00D85" w14:textId="77777777" w:rsidR="006567DF" w:rsidRDefault="00000000">
      <w:pPr>
        <w:pStyle w:val="BodyText"/>
        <w:spacing w:line="247" w:lineRule="auto"/>
        <w:ind w:left="123" w:right="142" w:hanging="10"/>
        <w:jc w:val="both"/>
      </w:pPr>
      <w:r>
        <w:t xml:space="preserve">In certain circumstances a guarantor may be required. The guarantor is normally a member of the applicant’s family who is of sufficient means to guarantee the payment of rent. Should a guarantor be required we will need their full name, mobile </w:t>
      </w:r>
      <w:proofErr w:type="gramStart"/>
      <w:r>
        <w:t>number</w:t>
      </w:r>
      <w:proofErr w:type="gramEnd"/>
      <w:r>
        <w:t xml:space="preserve"> and email address so that they can receive the email link from Van Mildert.</w:t>
      </w:r>
    </w:p>
    <w:p w14:paraId="0EE00D86" w14:textId="77777777" w:rsidR="006567DF" w:rsidRDefault="006567DF">
      <w:pPr>
        <w:pStyle w:val="BodyText"/>
        <w:spacing w:before="5"/>
        <w:rPr>
          <w:sz w:val="21"/>
        </w:rPr>
      </w:pPr>
    </w:p>
    <w:p w14:paraId="0EE00D87" w14:textId="77777777" w:rsidR="006567DF" w:rsidRDefault="00000000">
      <w:pPr>
        <w:pStyle w:val="Heading1"/>
        <w:spacing w:before="1"/>
        <w:jc w:val="both"/>
      </w:pPr>
      <w:r>
        <w:rPr>
          <w:color w:val="3E5019"/>
        </w:rPr>
        <w:t>Beginning the Tenancy</w:t>
      </w:r>
    </w:p>
    <w:p w14:paraId="0EE00D88" w14:textId="77777777" w:rsidR="006567DF" w:rsidRDefault="00000000">
      <w:pPr>
        <w:pStyle w:val="BodyText"/>
        <w:spacing w:before="16" w:line="249" w:lineRule="auto"/>
        <w:ind w:left="123" w:right="141" w:hanging="10"/>
        <w:jc w:val="both"/>
      </w:pPr>
      <w:r>
        <w:t>When acceptable references have been obtained you will receive a copy of the tenancy agreement</w:t>
      </w:r>
      <w:r>
        <w:rPr>
          <w:spacing w:val="-14"/>
        </w:rPr>
        <w:t xml:space="preserve"> </w:t>
      </w:r>
      <w:r>
        <w:t>and</w:t>
      </w:r>
      <w:r>
        <w:rPr>
          <w:spacing w:val="-13"/>
        </w:rPr>
        <w:t xml:space="preserve"> </w:t>
      </w:r>
      <w:r>
        <w:t>a</w:t>
      </w:r>
      <w:r>
        <w:rPr>
          <w:spacing w:val="-13"/>
        </w:rPr>
        <w:t xml:space="preserve"> </w:t>
      </w:r>
      <w:r>
        <w:t>statement</w:t>
      </w:r>
      <w:r>
        <w:rPr>
          <w:spacing w:val="-14"/>
        </w:rPr>
        <w:t xml:space="preserve"> </w:t>
      </w:r>
      <w:r>
        <w:t>of</w:t>
      </w:r>
      <w:r>
        <w:rPr>
          <w:spacing w:val="-13"/>
        </w:rPr>
        <w:t xml:space="preserve"> </w:t>
      </w:r>
      <w:r>
        <w:t>monies</w:t>
      </w:r>
      <w:r>
        <w:rPr>
          <w:spacing w:val="-13"/>
        </w:rPr>
        <w:t xml:space="preserve"> </w:t>
      </w:r>
      <w:r>
        <w:t>required</w:t>
      </w:r>
      <w:r>
        <w:rPr>
          <w:spacing w:val="-14"/>
        </w:rPr>
        <w:t xml:space="preserve"> </w:t>
      </w:r>
      <w:r>
        <w:t>prior</w:t>
      </w:r>
      <w:r>
        <w:rPr>
          <w:spacing w:val="-13"/>
        </w:rPr>
        <w:t xml:space="preserve"> </w:t>
      </w:r>
      <w:r>
        <w:t>to</w:t>
      </w:r>
      <w:r>
        <w:rPr>
          <w:spacing w:val="-13"/>
        </w:rPr>
        <w:t xml:space="preserve"> </w:t>
      </w:r>
      <w:r>
        <w:t>your</w:t>
      </w:r>
      <w:r>
        <w:rPr>
          <w:spacing w:val="-14"/>
        </w:rPr>
        <w:t xml:space="preserve"> </w:t>
      </w:r>
      <w:r>
        <w:t>move</w:t>
      </w:r>
      <w:r>
        <w:rPr>
          <w:spacing w:val="-13"/>
        </w:rPr>
        <w:t xml:space="preserve"> </w:t>
      </w:r>
      <w:r>
        <w:t>in.</w:t>
      </w:r>
      <w:r>
        <w:rPr>
          <w:spacing w:val="-12"/>
        </w:rPr>
        <w:t xml:space="preserve"> </w:t>
      </w:r>
      <w:r>
        <w:t>On</w:t>
      </w:r>
      <w:r>
        <w:rPr>
          <w:spacing w:val="-14"/>
        </w:rPr>
        <w:t xml:space="preserve"> </w:t>
      </w:r>
      <w:r>
        <w:t>the</w:t>
      </w:r>
      <w:r>
        <w:rPr>
          <w:spacing w:val="-13"/>
        </w:rPr>
        <w:t xml:space="preserve"> </w:t>
      </w:r>
      <w:r>
        <w:t>tenancy</w:t>
      </w:r>
      <w:r>
        <w:rPr>
          <w:spacing w:val="-13"/>
        </w:rPr>
        <w:t xml:space="preserve"> </w:t>
      </w:r>
      <w:r>
        <w:t xml:space="preserve">start date all parties to the agreement must attend our offices to sign the tenancy agreement and collect the keys. Payment of the first months’ rent and the dilapidation deposit are required in </w:t>
      </w:r>
      <w:r>
        <w:rPr>
          <w:b/>
          <w:color w:val="FB0000"/>
        </w:rPr>
        <w:t xml:space="preserve">CLEARED FUNDS </w:t>
      </w:r>
      <w:r>
        <w:t xml:space="preserve">before we can release the keys. Payment should be made via bank transfer </w:t>
      </w:r>
      <w:r>
        <w:rPr>
          <w:b/>
          <w:color w:val="FB0000"/>
        </w:rPr>
        <w:t xml:space="preserve">3 WORKING DAYS </w:t>
      </w:r>
      <w:r>
        <w:t>before commencement, quoting the property address.</w:t>
      </w:r>
    </w:p>
    <w:p w14:paraId="0EE00D89" w14:textId="77777777" w:rsidR="006567DF" w:rsidRDefault="006567DF">
      <w:pPr>
        <w:pStyle w:val="BodyText"/>
        <w:spacing w:before="1"/>
        <w:rPr>
          <w:sz w:val="19"/>
        </w:rPr>
      </w:pPr>
    </w:p>
    <w:p w14:paraId="0EE00D8A" w14:textId="77777777" w:rsidR="006567DF" w:rsidRDefault="00000000">
      <w:pPr>
        <w:pStyle w:val="BodyText"/>
        <w:spacing w:line="249" w:lineRule="auto"/>
        <w:ind w:left="123" w:right="143" w:hanging="10"/>
        <w:jc w:val="both"/>
      </w:pPr>
      <w:r>
        <w:t>You will be given the keys, a copy of the tenancy agreement and any relevant documents for the property including the Gas Safety certificate (If applicable) GOV.UK How to rent checklist.</w:t>
      </w:r>
    </w:p>
    <w:p w14:paraId="0EE00D8C" w14:textId="77777777" w:rsidR="006567DF" w:rsidRDefault="006567DF">
      <w:pPr>
        <w:pStyle w:val="BodyText"/>
        <w:spacing w:before="3"/>
        <w:rPr>
          <w:sz w:val="35"/>
        </w:rPr>
      </w:pPr>
    </w:p>
    <w:p w14:paraId="0EE00D8D" w14:textId="77777777" w:rsidR="006567DF" w:rsidRDefault="00000000">
      <w:pPr>
        <w:pStyle w:val="BodyText"/>
        <w:spacing w:line="247" w:lineRule="auto"/>
        <w:ind w:left="123" w:right="2201" w:hanging="10"/>
      </w:pPr>
      <w:r>
        <w:rPr>
          <w:b/>
          <w:color w:val="3E5019"/>
        </w:rPr>
        <w:t xml:space="preserve">Rent Payment </w:t>
      </w:r>
      <w:r>
        <w:t xml:space="preserve">Rent is payable on the same day each month that </w:t>
      </w:r>
      <w:r>
        <w:lastRenderedPageBreak/>
        <w:t>the tenancy starts</w:t>
      </w:r>
    </w:p>
    <w:p w14:paraId="0EE00D8E" w14:textId="77777777" w:rsidR="006567DF" w:rsidRDefault="006567DF">
      <w:pPr>
        <w:spacing w:line="247" w:lineRule="auto"/>
        <w:sectPr w:rsidR="006567DF" w:rsidSect="00CA62BC">
          <w:type w:val="continuous"/>
          <w:pgSz w:w="11900" w:h="16840"/>
          <w:pgMar w:top="820" w:right="1280" w:bottom="280" w:left="1320" w:header="720" w:footer="720" w:gutter="0"/>
          <w:cols w:space="720"/>
        </w:sectPr>
      </w:pPr>
    </w:p>
    <w:p w14:paraId="0EE00D8F" w14:textId="77777777" w:rsidR="006567DF" w:rsidRDefault="00000000">
      <w:pPr>
        <w:pStyle w:val="BodyText"/>
        <w:spacing w:before="72" w:line="271" w:lineRule="auto"/>
        <w:ind w:left="113" w:right="3138"/>
        <w:jc w:val="both"/>
      </w:pPr>
      <w:r>
        <w:lastRenderedPageBreak/>
        <w:t>EG: Tenancy start date 24</w:t>
      </w:r>
      <w:proofErr w:type="spellStart"/>
      <w:r>
        <w:rPr>
          <w:position w:val="6"/>
          <w:sz w:val="12"/>
        </w:rPr>
        <w:t>th</w:t>
      </w:r>
      <w:proofErr w:type="spellEnd"/>
      <w:r>
        <w:rPr>
          <w:position w:val="6"/>
          <w:sz w:val="12"/>
        </w:rPr>
        <w:t xml:space="preserve"> </w:t>
      </w:r>
      <w:r>
        <w:t>= rent due 24</w:t>
      </w:r>
      <w:proofErr w:type="spellStart"/>
      <w:r>
        <w:rPr>
          <w:position w:val="6"/>
          <w:sz w:val="12"/>
        </w:rPr>
        <w:t>th</w:t>
      </w:r>
      <w:proofErr w:type="spellEnd"/>
      <w:r>
        <w:rPr>
          <w:position w:val="6"/>
          <w:sz w:val="12"/>
        </w:rPr>
        <w:t xml:space="preserve"> </w:t>
      </w:r>
      <w:r>
        <w:t>of each month. Payment is required by bank standing order.</w:t>
      </w:r>
    </w:p>
    <w:p w14:paraId="0EE00D90" w14:textId="77777777" w:rsidR="006567DF" w:rsidRDefault="00000000">
      <w:pPr>
        <w:pStyle w:val="Heading1"/>
        <w:spacing w:before="214"/>
        <w:jc w:val="both"/>
      </w:pPr>
      <w:r>
        <w:rPr>
          <w:color w:val="3E5019"/>
        </w:rPr>
        <w:t>Dilapidation</w:t>
      </w:r>
      <w:r>
        <w:rPr>
          <w:color w:val="3E5019"/>
          <w:spacing w:val="-12"/>
        </w:rPr>
        <w:t xml:space="preserve"> </w:t>
      </w:r>
      <w:r>
        <w:rPr>
          <w:color w:val="3E5019"/>
        </w:rPr>
        <w:t>Deposit</w:t>
      </w:r>
    </w:p>
    <w:p w14:paraId="0EE00D91" w14:textId="77777777" w:rsidR="006567DF" w:rsidRDefault="00000000">
      <w:pPr>
        <w:pStyle w:val="BodyText"/>
        <w:spacing w:before="20" w:line="247" w:lineRule="auto"/>
        <w:ind w:left="123" w:right="143" w:hanging="10"/>
        <w:jc w:val="both"/>
      </w:pPr>
      <w:r>
        <w:t>A</w:t>
      </w:r>
      <w:r>
        <w:rPr>
          <w:spacing w:val="-7"/>
        </w:rPr>
        <w:t xml:space="preserve"> </w:t>
      </w:r>
      <w:r>
        <w:t>dilapidation</w:t>
      </w:r>
      <w:r>
        <w:rPr>
          <w:spacing w:val="-7"/>
        </w:rPr>
        <w:t xml:space="preserve"> </w:t>
      </w:r>
      <w:r>
        <w:t>deposit</w:t>
      </w:r>
      <w:r>
        <w:rPr>
          <w:spacing w:val="-7"/>
        </w:rPr>
        <w:t xml:space="preserve"> </w:t>
      </w:r>
      <w:r>
        <w:t>is</w:t>
      </w:r>
      <w:r>
        <w:rPr>
          <w:spacing w:val="-6"/>
        </w:rPr>
        <w:t xml:space="preserve"> </w:t>
      </w:r>
      <w:r>
        <w:t>payable</w:t>
      </w:r>
      <w:r>
        <w:rPr>
          <w:spacing w:val="-7"/>
        </w:rPr>
        <w:t xml:space="preserve"> </w:t>
      </w:r>
      <w:r>
        <w:t>before</w:t>
      </w:r>
      <w:r>
        <w:rPr>
          <w:spacing w:val="-7"/>
        </w:rPr>
        <w:t xml:space="preserve"> </w:t>
      </w:r>
      <w:r>
        <w:t>the</w:t>
      </w:r>
      <w:r>
        <w:rPr>
          <w:spacing w:val="-7"/>
        </w:rPr>
        <w:t xml:space="preserve"> </w:t>
      </w:r>
      <w:r>
        <w:t>start</w:t>
      </w:r>
      <w:r>
        <w:rPr>
          <w:spacing w:val="-6"/>
        </w:rPr>
        <w:t xml:space="preserve"> </w:t>
      </w:r>
      <w:r>
        <w:t>of</w:t>
      </w:r>
      <w:r>
        <w:rPr>
          <w:spacing w:val="-7"/>
        </w:rPr>
        <w:t xml:space="preserve"> </w:t>
      </w:r>
      <w:r>
        <w:t>a</w:t>
      </w:r>
      <w:r>
        <w:rPr>
          <w:spacing w:val="-7"/>
        </w:rPr>
        <w:t xml:space="preserve"> </w:t>
      </w:r>
      <w:r>
        <w:t>tenancy</w:t>
      </w:r>
      <w:r>
        <w:rPr>
          <w:spacing w:val="-7"/>
        </w:rPr>
        <w:t xml:space="preserve"> </w:t>
      </w:r>
      <w:r>
        <w:t>and</w:t>
      </w:r>
      <w:r>
        <w:rPr>
          <w:spacing w:val="-6"/>
        </w:rPr>
        <w:t xml:space="preserve"> </w:t>
      </w:r>
      <w:r>
        <w:t>is</w:t>
      </w:r>
      <w:r>
        <w:rPr>
          <w:spacing w:val="-7"/>
        </w:rPr>
        <w:t xml:space="preserve"> </w:t>
      </w:r>
      <w:r>
        <w:t>equal</w:t>
      </w:r>
      <w:r>
        <w:rPr>
          <w:spacing w:val="-7"/>
        </w:rPr>
        <w:t xml:space="preserve"> </w:t>
      </w:r>
      <w:r>
        <w:t>to</w:t>
      </w:r>
      <w:r>
        <w:rPr>
          <w:spacing w:val="-9"/>
        </w:rPr>
        <w:t xml:space="preserve"> </w:t>
      </w:r>
      <w:r>
        <w:t>5</w:t>
      </w:r>
      <w:r>
        <w:rPr>
          <w:spacing w:val="-6"/>
        </w:rPr>
        <w:t xml:space="preserve"> </w:t>
      </w:r>
      <w:proofErr w:type="gramStart"/>
      <w:r>
        <w:t>weeks</w:t>
      </w:r>
      <w:proofErr w:type="gramEnd"/>
      <w:r>
        <w:rPr>
          <w:spacing w:val="-7"/>
        </w:rPr>
        <w:t xml:space="preserve"> </w:t>
      </w:r>
      <w:r>
        <w:t>rent (e.g. if the monthly rent is £600 then the deposit will be £692.31). The deposit is held by David Clark &amp; Company and is returned after the property has been vacated, the keys returned, and an end of tenancy inspection has been carried out. Any necessary cleaning or</w:t>
      </w:r>
      <w:r>
        <w:rPr>
          <w:spacing w:val="-5"/>
        </w:rPr>
        <w:t xml:space="preserve"> </w:t>
      </w:r>
      <w:r>
        <w:t>repairs/replacements</w:t>
      </w:r>
      <w:r>
        <w:rPr>
          <w:spacing w:val="-5"/>
        </w:rPr>
        <w:t xml:space="preserve"> </w:t>
      </w:r>
      <w:r>
        <w:t>will</w:t>
      </w:r>
      <w:r>
        <w:rPr>
          <w:spacing w:val="-5"/>
        </w:rPr>
        <w:t xml:space="preserve"> </w:t>
      </w:r>
      <w:r>
        <w:t>be</w:t>
      </w:r>
      <w:r>
        <w:rPr>
          <w:spacing w:val="-5"/>
        </w:rPr>
        <w:t xml:space="preserve"> </w:t>
      </w:r>
      <w:r>
        <w:t>charged</w:t>
      </w:r>
      <w:r>
        <w:rPr>
          <w:spacing w:val="-5"/>
        </w:rPr>
        <w:t xml:space="preserve"> </w:t>
      </w:r>
      <w:r>
        <w:t>to</w:t>
      </w:r>
      <w:r>
        <w:rPr>
          <w:spacing w:val="-5"/>
        </w:rPr>
        <w:t xml:space="preserve"> </w:t>
      </w:r>
      <w:r>
        <w:t>the</w:t>
      </w:r>
      <w:r>
        <w:rPr>
          <w:spacing w:val="-5"/>
        </w:rPr>
        <w:t xml:space="preserve"> </w:t>
      </w:r>
      <w:r>
        <w:t>deposit</w:t>
      </w:r>
      <w:r>
        <w:rPr>
          <w:spacing w:val="-5"/>
        </w:rPr>
        <w:t xml:space="preserve"> </w:t>
      </w:r>
      <w:r>
        <w:t>and</w:t>
      </w:r>
      <w:r>
        <w:rPr>
          <w:spacing w:val="-5"/>
        </w:rPr>
        <w:t xml:space="preserve"> </w:t>
      </w:r>
      <w:r>
        <w:t>will</w:t>
      </w:r>
      <w:r>
        <w:rPr>
          <w:spacing w:val="-5"/>
        </w:rPr>
        <w:t xml:space="preserve"> </w:t>
      </w:r>
      <w:r>
        <w:t>cause</w:t>
      </w:r>
      <w:r>
        <w:rPr>
          <w:spacing w:val="-5"/>
        </w:rPr>
        <w:t xml:space="preserve"> </w:t>
      </w:r>
      <w:r>
        <w:t>a</w:t>
      </w:r>
      <w:r>
        <w:rPr>
          <w:spacing w:val="-5"/>
        </w:rPr>
        <w:t xml:space="preserve"> </w:t>
      </w:r>
      <w:r>
        <w:t>delay</w:t>
      </w:r>
      <w:r>
        <w:rPr>
          <w:spacing w:val="-4"/>
        </w:rPr>
        <w:t xml:space="preserve"> </w:t>
      </w:r>
      <w:r>
        <w:t>in</w:t>
      </w:r>
      <w:r>
        <w:rPr>
          <w:spacing w:val="-5"/>
        </w:rPr>
        <w:t xml:space="preserve"> </w:t>
      </w:r>
      <w:r>
        <w:t>the</w:t>
      </w:r>
      <w:r>
        <w:rPr>
          <w:spacing w:val="-5"/>
        </w:rPr>
        <w:t xml:space="preserve"> </w:t>
      </w:r>
      <w:r>
        <w:t>return of the deposit</w:t>
      </w:r>
      <w:r>
        <w:rPr>
          <w:spacing w:val="-3"/>
        </w:rPr>
        <w:t xml:space="preserve"> </w:t>
      </w:r>
      <w:r>
        <w:t>balance.</w:t>
      </w:r>
    </w:p>
    <w:p w14:paraId="0EE00D92" w14:textId="77777777" w:rsidR="006567DF" w:rsidRDefault="006567DF">
      <w:pPr>
        <w:pStyle w:val="BodyText"/>
        <w:spacing w:before="2"/>
      </w:pPr>
    </w:p>
    <w:p w14:paraId="0EE00D93" w14:textId="77777777" w:rsidR="006567DF" w:rsidRDefault="00000000">
      <w:pPr>
        <w:pStyle w:val="BodyText"/>
        <w:spacing w:line="247" w:lineRule="auto"/>
        <w:ind w:left="123" w:right="139" w:hanging="10"/>
        <w:jc w:val="both"/>
      </w:pPr>
      <w:r>
        <w:t>We are NAEA (National Association of Estate Agents) &amp; ARLA (Association of Residential Letting Agents) members which means that the dilapidation deposit and any rent will be held in a designated client account which is covered under a bonding scheme and backed by professional indemnity insurance.</w:t>
      </w:r>
    </w:p>
    <w:p w14:paraId="0EE00D94" w14:textId="77777777" w:rsidR="006567DF" w:rsidRDefault="006567DF">
      <w:pPr>
        <w:pStyle w:val="BodyText"/>
        <w:spacing w:before="11"/>
        <w:rPr>
          <w:sz w:val="19"/>
        </w:rPr>
      </w:pPr>
    </w:p>
    <w:p w14:paraId="0EE00D95" w14:textId="77777777" w:rsidR="006567DF" w:rsidRDefault="00000000">
      <w:pPr>
        <w:pStyle w:val="Heading1"/>
      </w:pPr>
      <w:r>
        <w:rPr>
          <w:color w:val="3E5019"/>
        </w:rPr>
        <w:t>Inventory</w:t>
      </w:r>
    </w:p>
    <w:p w14:paraId="0EE00D96" w14:textId="77777777" w:rsidR="006567DF" w:rsidRDefault="00000000">
      <w:pPr>
        <w:pStyle w:val="BodyText"/>
        <w:spacing w:before="21" w:line="247" w:lineRule="auto"/>
        <w:ind w:left="138" w:right="115" w:hanging="10"/>
        <w:jc w:val="both"/>
      </w:pPr>
      <w:r>
        <w:t>An Inventory of contents and schedule of condition will be prepared by a professional, independent Inventory Clerk, prior to the start of the tenancy. Their paperless delivery system sends the Inventory report to you via email and text message at the start of your tenancy.</w:t>
      </w:r>
      <w:r>
        <w:rPr>
          <w:spacing w:val="-11"/>
        </w:rPr>
        <w:t xml:space="preserve"> </w:t>
      </w:r>
      <w:r>
        <w:t>The</w:t>
      </w:r>
      <w:r>
        <w:rPr>
          <w:spacing w:val="-11"/>
        </w:rPr>
        <w:t xml:space="preserve"> </w:t>
      </w:r>
      <w:r>
        <w:t>system</w:t>
      </w:r>
      <w:r>
        <w:rPr>
          <w:spacing w:val="-11"/>
        </w:rPr>
        <w:t xml:space="preserve"> </w:t>
      </w:r>
      <w:r>
        <w:t>then</w:t>
      </w:r>
      <w:r>
        <w:rPr>
          <w:spacing w:val="-12"/>
        </w:rPr>
        <w:t xml:space="preserve"> </w:t>
      </w:r>
      <w:r>
        <w:t>allows</w:t>
      </w:r>
      <w:r>
        <w:rPr>
          <w:spacing w:val="-11"/>
        </w:rPr>
        <w:t xml:space="preserve"> </w:t>
      </w:r>
      <w:r>
        <w:t>you</w:t>
      </w:r>
      <w:r>
        <w:rPr>
          <w:spacing w:val="-11"/>
        </w:rPr>
        <w:t xml:space="preserve"> </w:t>
      </w:r>
      <w:r>
        <w:t>10</w:t>
      </w:r>
      <w:r>
        <w:rPr>
          <w:spacing w:val="-12"/>
        </w:rPr>
        <w:t xml:space="preserve"> </w:t>
      </w:r>
      <w:r>
        <w:t>days</w:t>
      </w:r>
      <w:r>
        <w:rPr>
          <w:spacing w:val="-11"/>
        </w:rPr>
        <w:t xml:space="preserve"> </w:t>
      </w:r>
      <w:r>
        <w:t>from</w:t>
      </w:r>
      <w:r>
        <w:rPr>
          <w:spacing w:val="-11"/>
        </w:rPr>
        <w:t xml:space="preserve"> </w:t>
      </w:r>
      <w:r>
        <w:t>the</w:t>
      </w:r>
      <w:r>
        <w:rPr>
          <w:spacing w:val="-12"/>
        </w:rPr>
        <w:t xml:space="preserve"> </w:t>
      </w:r>
      <w:r>
        <w:t>date</w:t>
      </w:r>
      <w:r>
        <w:rPr>
          <w:spacing w:val="-11"/>
        </w:rPr>
        <w:t xml:space="preserve"> </w:t>
      </w:r>
      <w:r>
        <w:t>of</w:t>
      </w:r>
      <w:r>
        <w:rPr>
          <w:spacing w:val="-10"/>
        </w:rPr>
        <w:t xml:space="preserve"> </w:t>
      </w:r>
      <w:r>
        <w:t>receipt</w:t>
      </w:r>
      <w:r>
        <w:rPr>
          <w:spacing w:val="-11"/>
        </w:rPr>
        <w:t xml:space="preserve"> </w:t>
      </w:r>
      <w:r>
        <w:t>to</w:t>
      </w:r>
      <w:r>
        <w:rPr>
          <w:spacing w:val="-11"/>
        </w:rPr>
        <w:t xml:space="preserve"> </w:t>
      </w:r>
      <w:r>
        <w:t>note</w:t>
      </w:r>
      <w:r>
        <w:rPr>
          <w:spacing w:val="-11"/>
        </w:rPr>
        <w:t xml:space="preserve"> </w:t>
      </w:r>
      <w:r>
        <w:t>any</w:t>
      </w:r>
      <w:r>
        <w:rPr>
          <w:spacing w:val="-12"/>
        </w:rPr>
        <w:t xml:space="preserve"> </w:t>
      </w:r>
      <w:r>
        <w:t>relevant observations</w:t>
      </w:r>
      <w:r>
        <w:rPr>
          <w:spacing w:val="-7"/>
        </w:rPr>
        <w:t xml:space="preserve"> </w:t>
      </w:r>
      <w:r>
        <w:t>or</w:t>
      </w:r>
      <w:r>
        <w:rPr>
          <w:spacing w:val="-6"/>
        </w:rPr>
        <w:t xml:space="preserve"> </w:t>
      </w:r>
      <w:r>
        <w:t>discrepancies</w:t>
      </w:r>
      <w:r>
        <w:rPr>
          <w:spacing w:val="-6"/>
        </w:rPr>
        <w:t xml:space="preserve"> </w:t>
      </w:r>
      <w:r>
        <w:t>and</w:t>
      </w:r>
      <w:r>
        <w:rPr>
          <w:spacing w:val="-6"/>
        </w:rPr>
        <w:t xml:space="preserve"> </w:t>
      </w:r>
      <w:r>
        <w:t>places</w:t>
      </w:r>
      <w:r>
        <w:rPr>
          <w:spacing w:val="-7"/>
        </w:rPr>
        <w:t xml:space="preserve"> </w:t>
      </w:r>
      <w:r>
        <w:t>your</w:t>
      </w:r>
      <w:r>
        <w:rPr>
          <w:spacing w:val="-6"/>
        </w:rPr>
        <w:t xml:space="preserve"> </w:t>
      </w:r>
      <w:r>
        <w:t>comments</w:t>
      </w:r>
      <w:r>
        <w:rPr>
          <w:spacing w:val="-6"/>
        </w:rPr>
        <w:t xml:space="preserve"> </w:t>
      </w:r>
      <w:r>
        <w:t>within</w:t>
      </w:r>
      <w:r>
        <w:rPr>
          <w:spacing w:val="-7"/>
        </w:rPr>
        <w:t xml:space="preserve"> </w:t>
      </w:r>
      <w:r>
        <w:t>the</w:t>
      </w:r>
      <w:r>
        <w:rPr>
          <w:spacing w:val="-7"/>
        </w:rPr>
        <w:t xml:space="preserve"> </w:t>
      </w:r>
      <w:r>
        <w:t>document</w:t>
      </w:r>
      <w:r>
        <w:rPr>
          <w:spacing w:val="-7"/>
        </w:rPr>
        <w:t xml:space="preserve"> </w:t>
      </w:r>
      <w:r>
        <w:t>followed</w:t>
      </w:r>
      <w:r>
        <w:rPr>
          <w:spacing w:val="-7"/>
        </w:rPr>
        <w:t xml:space="preserve"> </w:t>
      </w:r>
      <w:r>
        <w:t>by a date</w:t>
      </w:r>
      <w:r>
        <w:rPr>
          <w:spacing w:val="-3"/>
        </w:rPr>
        <w:t xml:space="preserve"> </w:t>
      </w:r>
      <w:r>
        <w:t>stamp.</w:t>
      </w:r>
    </w:p>
    <w:p w14:paraId="0EE00D97" w14:textId="77777777" w:rsidR="006567DF" w:rsidRDefault="006567DF">
      <w:pPr>
        <w:pStyle w:val="BodyText"/>
        <w:spacing w:before="2"/>
      </w:pPr>
    </w:p>
    <w:p w14:paraId="0EE00D98" w14:textId="77777777" w:rsidR="006567DF" w:rsidRDefault="00000000">
      <w:pPr>
        <w:pStyle w:val="BodyText"/>
        <w:spacing w:line="249" w:lineRule="auto"/>
        <w:ind w:left="138" w:right="115" w:hanging="10"/>
        <w:jc w:val="both"/>
      </w:pPr>
      <w:r>
        <w:t>It</w:t>
      </w:r>
      <w:r>
        <w:rPr>
          <w:spacing w:val="-7"/>
        </w:rPr>
        <w:t xml:space="preserve"> </w:t>
      </w:r>
      <w:r>
        <w:t>is</w:t>
      </w:r>
      <w:r>
        <w:rPr>
          <w:spacing w:val="-7"/>
        </w:rPr>
        <w:t xml:space="preserve"> </w:t>
      </w:r>
      <w:r>
        <w:t>important</w:t>
      </w:r>
      <w:r>
        <w:rPr>
          <w:spacing w:val="-7"/>
        </w:rPr>
        <w:t xml:space="preserve"> </w:t>
      </w:r>
      <w:r>
        <w:t>that</w:t>
      </w:r>
      <w:r>
        <w:rPr>
          <w:spacing w:val="-7"/>
        </w:rPr>
        <w:t xml:space="preserve"> </w:t>
      </w:r>
      <w:r>
        <w:t>you</w:t>
      </w:r>
      <w:r>
        <w:rPr>
          <w:spacing w:val="-7"/>
        </w:rPr>
        <w:t xml:space="preserve"> </w:t>
      </w:r>
      <w:r>
        <w:t>check</w:t>
      </w:r>
      <w:r>
        <w:rPr>
          <w:spacing w:val="-7"/>
        </w:rPr>
        <w:t xml:space="preserve"> </w:t>
      </w:r>
      <w:r>
        <w:t>the</w:t>
      </w:r>
      <w:r>
        <w:rPr>
          <w:spacing w:val="-6"/>
        </w:rPr>
        <w:t xml:space="preserve"> </w:t>
      </w:r>
      <w:r>
        <w:t>inventory</w:t>
      </w:r>
      <w:r>
        <w:rPr>
          <w:spacing w:val="-7"/>
        </w:rPr>
        <w:t xml:space="preserve"> </w:t>
      </w:r>
      <w:r>
        <w:t>carefully</w:t>
      </w:r>
      <w:r>
        <w:rPr>
          <w:spacing w:val="-7"/>
        </w:rPr>
        <w:t xml:space="preserve"> </w:t>
      </w:r>
      <w:r>
        <w:t>as</w:t>
      </w:r>
      <w:r>
        <w:rPr>
          <w:spacing w:val="-7"/>
        </w:rPr>
        <w:t xml:space="preserve"> </w:t>
      </w:r>
      <w:r>
        <w:t>it</w:t>
      </w:r>
      <w:r>
        <w:rPr>
          <w:spacing w:val="-7"/>
        </w:rPr>
        <w:t xml:space="preserve"> </w:t>
      </w:r>
      <w:r>
        <w:t>forms</w:t>
      </w:r>
      <w:r>
        <w:rPr>
          <w:spacing w:val="-7"/>
        </w:rPr>
        <w:t xml:space="preserve"> </w:t>
      </w:r>
      <w:r>
        <w:t>the</w:t>
      </w:r>
      <w:r>
        <w:rPr>
          <w:spacing w:val="-6"/>
        </w:rPr>
        <w:t xml:space="preserve"> </w:t>
      </w:r>
      <w:r>
        <w:t>basis</w:t>
      </w:r>
      <w:r>
        <w:rPr>
          <w:spacing w:val="-7"/>
        </w:rPr>
        <w:t xml:space="preserve"> </w:t>
      </w:r>
      <w:r>
        <w:t>of</w:t>
      </w:r>
      <w:r>
        <w:rPr>
          <w:spacing w:val="-7"/>
        </w:rPr>
        <w:t xml:space="preserve"> </w:t>
      </w:r>
      <w:r>
        <w:t>the</w:t>
      </w:r>
      <w:r>
        <w:rPr>
          <w:spacing w:val="-7"/>
        </w:rPr>
        <w:t xml:space="preserve"> </w:t>
      </w:r>
      <w:r>
        <w:t>mid-term property visits and final checkout inspection at the end of your tenancy. (Properties fully managed by David Clark &amp; Co</w:t>
      </w:r>
      <w:r>
        <w:rPr>
          <w:spacing w:val="-10"/>
        </w:rPr>
        <w:t xml:space="preserve"> </w:t>
      </w:r>
      <w:r>
        <w:t>only)</w:t>
      </w:r>
    </w:p>
    <w:p w14:paraId="0EE00D99" w14:textId="77777777" w:rsidR="006567DF" w:rsidRDefault="006567DF">
      <w:pPr>
        <w:pStyle w:val="BodyText"/>
        <w:rPr>
          <w:sz w:val="19"/>
        </w:rPr>
      </w:pPr>
    </w:p>
    <w:p w14:paraId="0EE00D9A" w14:textId="77777777" w:rsidR="006567DF" w:rsidRDefault="00000000">
      <w:pPr>
        <w:pStyle w:val="Heading1"/>
      </w:pPr>
      <w:r>
        <w:rPr>
          <w:color w:val="3E5019"/>
        </w:rPr>
        <w:t>Utilities &amp; Council Tax</w:t>
      </w:r>
    </w:p>
    <w:p w14:paraId="0EE00D9B" w14:textId="77777777" w:rsidR="006567DF" w:rsidRDefault="00000000">
      <w:pPr>
        <w:pStyle w:val="BodyText"/>
        <w:spacing w:before="21" w:line="247" w:lineRule="auto"/>
        <w:ind w:left="123" w:right="144" w:hanging="10"/>
        <w:jc w:val="both"/>
      </w:pPr>
      <w:r>
        <w:t>You will be responsible for electricity, gas, water, council tax and telephone costs at the property.</w:t>
      </w:r>
    </w:p>
    <w:p w14:paraId="0EE00D9C" w14:textId="77777777" w:rsidR="006567DF" w:rsidRDefault="006567DF">
      <w:pPr>
        <w:pStyle w:val="BodyText"/>
        <w:spacing w:before="7"/>
        <w:rPr>
          <w:sz w:val="19"/>
        </w:rPr>
      </w:pPr>
    </w:p>
    <w:p w14:paraId="0EE00D9D" w14:textId="77777777" w:rsidR="006567DF" w:rsidRDefault="00000000">
      <w:pPr>
        <w:pStyle w:val="BodyText"/>
        <w:spacing w:line="252" w:lineRule="auto"/>
        <w:ind w:left="123" w:right="146" w:hanging="10"/>
        <w:jc w:val="both"/>
      </w:pPr>
      <w:r>
        <w:t>You will arrange the transfer of utilities and we will take meter readings prior to the start of the tenancy.</w:t>
      </w:r>
    </w:p>
    <w:p w14:paraId="0EE00D9E" w14:textId="77777777" w:rsidR="006567DF" w:rsidRDefault="006567DF">
      <w:pPr>
        <w:pStyle w:val="BodyText"/>
        <w:spacing w:before="10"/>
        <w:rPr>
          <w:sz w:val="18"/>
        </w:rPr>
      </w:pPr>
    </w:p>
    <w:p w14:paraId="0EE00D9F" w14:textId="77777777" w:rsidR="006567DF" w:rsidRDefault="00000000">
      <w:pPr>
        <w:pStyle w:val="BodyText"/>
        <w:spacing w:line="249" w:lineRule="auto"/>
        <w:ind w:left="123" w:right="144" w:hanging="10"/>
        <w:jc w:val="both"/>
      </w:pPr>
      <w:r>
        <w:t>We will notify the relevant Local Authority of the commencement of your tenancy so that they</w:t>
      </w:r>
      <w:r>
        <w:rPr>
          <w:spacing w:val="-9"/>
        </w:rPr>
        <w:t xml:space="preserve"> </w:t>
      </w:r>
      <w:r>
        <w:t>may</w:t>
      </w:r>
      <w:r>
        <w:rPr>
          <w:spacing w:val="-9"/>
        </w:rPr>
        <w:t xml:space="preserve"> </w:t>
      </w:r>
      <w:r>
        <w:t>contact</w:t>
      </w:r>
      <w:r>
        <w:rPr>
          <w:spacing w:val="-8"/>
        </w:rPr>
        <w:t xml:space="preserve"> </w:t>
      </w:r>
      <w:r>
        <w:t>you</w:t>
      </w:r>
      <w:r>
        <w:rPr>
          <w:spacing w:val="-9"/>
        </w:rPr>
        <w:t xml:space="preserve"> </w:t>
      </w:r>
      <w:r>
        <w:t>directly</w:t>
      </w:r>
      <w:r>
        <w:rPr>
          <w:spacing w:val="-9"/>
        </w:rPr>
        <w:t xml:space="preserve"> </w:t>
      </w:r>
      <w:r>
        <w:t>for</w:t>
      </w:r>
      <w:r>
        <w:rPr>
          <w:spacing w:val="-8"/>
        </w:rPr>
        <w:t xml:space="preserve"> </w:t>
      </w:r>
      <w:r>
        <w:t>Council</w:t>
      </w:r>
      <w:r>
        <w:rPr>
          <w:spacing w:val="-8"/>
        </w:rPr>
        <w:t xml:space="preserve"> </w:t>
      </w:r>
      <w:r>
        <w:t>Tax.</w:t>
      </w:r>
      <w:r>
        <w:rPr>
          <w:spacing w:val="-8"/>
        </w:rPr>
        <w:t xml:space="preserve"> </w:t>
      </w:r>
      <w:r>
        <w:t>Please</w:t>
      </w:r>
      <w:r>
        <w:rPr>
          <w:spacing w:val="-8"/>
        </w:rPr>
        <w:t xml:space="preserve"> </w:t>
      </w:r>
      <w:r>
        <w:t>note</w:t>
      </w:r>
      <w:r>
        <w:rPr>
          <w:spacing w:val="-9"/>
        </w:rPr>
        <w:t xml:space="preserve"> </w:t>
      </w:r>
      <w:r>
        <w:t>that</w:t>
      </w:r>
      <w:r>
        <w:rPr>
          <w:spacing w:val="-9"/>
        </w:rPr>
        <w:t xml:space="preserve"> </w:t>
      </w:r>
      <w:r>
        <w:t>if</w:t>
      </w:r>
      <w:r>
        <w:rPr>
          <w:spacing w:val="-7"/>
        </w:rPr>
        <w:t xml:space="preserve"> </w:t>
      </w:r>
      <w:r>
        <w:t>you</w:t>
      </w:r>
      <w:r>
        <w:rPr>
          <w:spacing w:val="-9"/>
        </w:rPr>
        <w:t xml:space="preserve"> </w:t>
      </w:r>
      <w:r>
        <w:t>are</w:t>
      </w:r>
      <w:r>
        <w:rPr>
          <w:spacing w:val="-9"/>
        </w:rPr>
        <w:t xml:space="preserve"> </w:t>
      </w:r>
      <w:r>
        <w:t>a</w:t>
      </w:r>
      <w:r>
        <w:rPr>
          <w:spacing w:val="-8"/>
        </w:rPr>
        <w:t xml:space="preserve"> </w:t>
      </w:r>
      <w:r>
        <w:t>single</w:t>
      </w:r>
      <w:r>
        <w:rPr>
          <w:spacing w:val="-9"/>
        </w:rPr>
        <w:t xml:space="preserve"> </w:t>
      </w:r>
      <w:r>
        <w:t>occupier you are entitled to a</w:t>
      </w:r>
      <w:r>
        <w:rPr>
          <w:spacing w:val="-5"/>
        </w:rPr>
        <w:t xml:space="preserve"> </w:t>
      </w:r>
      <w:r>
        <w:t>discount.</w:t>
      </w:r>
    </w:p>
    <w:p w14:paraId="0EE00DA0" w14:textId="77777777" w:rsidR="006567DF" w:rsidRDefault="006567DF">
      <w:pPr>
        <w:pStyle w:val="BodyText"/>
        <w:spacing w:before="4"/>
        <w:rPr>
          <w:sz w:val="19"/>
        </w:rPr>
      </w:pPr>
    </w:p>
    <w:p w14:paraId="0EE00DA1" w14:textId="77777777" w:rsidR="006567DF" w:rsidRDefault="00000000">
      <w:pPr>
        <w:pStyle w:val="BodyText"/>
        <w:spacing w:before="1"/>
        <w:ind w:left="113"/>
      </w:pPr>
      <w:r>
        <w:t xml:space="preserve">We cannot </w:t>
      </w:r>
      <w:proofErr w:type="gramStart"/>
      <w:r>
        <w:t>make arrangements</w:t>
      </w:r>
      <w:proofErr w:type="gramEnd"/>
      <w:r>
        <w:t xml:space="preserve"> to </w:t>
      </w:r>
      <w:proofErr w:type="gramStart"/>
      <w:r>
        <w:t>connect</w:t>
      </w:r>
      <w:proofErr w:type="gramEnd"/>
      <w:r>
        <w:t xml:space="preserve"> a telephone.</w:t>
      </w:r>
    </w:p>
    <w:p w14:paraId="0EE00DA2" w14:textId="77777777" w:rsidR="006567DF" w:rsidRDefault="006567DF">
      <w:pPr>
        <w:pStyle w:val="BodyText"/>
        <w:spacing w:before="10"/>
        <w:rPr>
          <w:sz w:val="19"/>
        </w:rPr>
      </w:pPr>
    </w:p>
    <w:p w14:paraId="0EE00DA3" w14:textId="77777777" w:rsidR="006567DF" w:rsidRDefault="00000000">
      <w:pPr>
        <w:pStyle w:val="BodyText"/>
        <w:spacing w:line="249" w:lineRule="auto"/>
        <w:ind w:left="123" w:right="145" w:hanging="10"/>
        <w:jc w:val="both"/>
      </w:pPr>
      <w:r>
        <w:t xml:space="preserve">A television </w:t>
      </w:r>
      <w:proofErr w:type="spellStart"/>
      <w:r>
        <w:t>licence</w:t>
      </w:r>
      <w:proofErr w:type="spellEnd"/>
      <w:r>
        <w:t xml:space="preserve"> and any cable, digital or satellite television arrangements will be your sole responsibility. However, if any service is not already available at the property you must contact us for written permission prior to installation.</w:t>
      </w:r>
    </w:p>
    <w:p w14:paraId="0EE00DA4" w14:textId="77777777" w:rsidR="006567DF" w:rsidRDefault="006567DF">
      <w:pPr>
        <w:pStyle w:val="BodyText"/>
        <w:spacing w:before="5"/>
        <w:rPr>
          <w:sz w:val="19"/>
        </w:rPr>
      </w:pPr>
    </w:p>
    <w:p w14:paraId="0EE00DA5" w14:textId="77777777" w:rsidR="006567DF" w:rsidRDefault="00000000">
      <w:pPr>
        <w:pStyle w:val="Heading1"/>
      </w:pPr>
      <w:r>
        <w:rPr>
          <w:color w:val="3E5019"/>
        </w:rPr>
        <w:t>Insurance</w:t>
      </w:r>
    </w:p>
    <w:p w14:paraId="0EE00DA6" w14:textId="77777777" w:rsidR="006567DF" w:rsidRDefault="00000000">
      <w:pPr>
        <w:pStyle w:val="BodyText"/>
        <w:spacing w:before="16"/>
        <w:ind w:left="128" w:right="271"/>
      </w:pPr>
      <w:r>
        <w:t xml:space="preserve">It is important to consider your insurance needs when renting a property, as you will be liable for any damage to the landlord’s property, </w:t>
      </w:r>
      <w:proofErr w:type="gramStart"/>
      <w:r>
        <w:t>fixtures</w:t>
      </w:r>
      <w:proofErr w:type="gramEnd"/>
      <w:r>
        <w:t xml:space="preserve"> and fittings. Your personal belongings will also not be covered by any insurance held by the landlord.</w:t>
      </w:r>
    </w:p>
    <w:p w14:paraId="0EE00DA7" w14:textId="77777777" w:rsidR="006567DF" w:rsidRDefault="006567DF">
      <w:pPr>
        <w:pStyle w:val="BodyText"/>
        <w:rPr>
          <w:sz w:val="24"/>
        </w:rPr>
      </w:pPr>
    </w:p>
    <w:p w14:paraId="0EE00DA8" w14:textId="77777777" w:rsidR="006567DF" w:rsidRDefault="006567DF">
      <w:pPr>
        <w:pStyle w:val="BodyText"/>
        <w:rPr>
          <w:sz w:val="24"/>
        </w:rPr>
      </w:pPr>
    </w:p>
    <w:p w14:paraId="0EE00DA9" w14:textId="77777777" w:rsidR="006567DF" w:rsidRDefault="006567DF">
      <w:pPr>
        <w:pStyle w:val="BodyText"/>
        <w:rPr>
          <w:sz w:val="24"/>
        </w:rPr>
      </w:pPr>
    </w:p>
    <w:p w14:paraId="0EE00DAA" w14:textId="77777777" w:rsidR="006567DF" w:rsidRDefault="00000000">
      <w:pPr>
        <w:pStyle w:val="Heading1"/>
        <w:spacing w:before="167"/>
      </w:pPr>
      <w:r>
        <w:rPr>
          <w:color w:val="3E5019"/>
        </w:rPr>
        <w:t>Periods of absence / Frost damage</w:t>
      </w:r>
    </w:p>
    <w:p w14:paraId="0EE00DAB" w14:textId="77777777" w:rsidR="006567DF" w:rsidRDefault="00000000">
      <w:pPr>
        <w:pStyle w:val="BodyText"/>
        <w:spacing w:before="21" w:line="247" w:lineRule="auto"/>
        <w:ind w:left="123" w:right="144" w:hanging="10"/>
        <w:jc w:val="both"/>
      </w:pPr>
      <w:r>
        <w:t>You</w:t>
      </w:r>
      <w:r>
        <w:rPr>
          <w:spacing w:val="-4"/>
        </w:rPr>
        <w:t xml:space="preserve"> </w:t>
      </w:r>
      <w:r>
        <w:t>must</w:t>
      </w:r>
      <w:r>
        <w:rPr>
          <w:spacing w:val="-4"/>
        </w:rPr>
        <w:t xml:space="preserve"> </w:t>
      </w:r>
      <w:r>
        <w:t>notify</w:t>
      </w:r>
      <w:r>
        <w:rPr>
          <w:spacing w:val="-3"/>
        </w:rPr>
        <w:t xml:space="preserve"> </w:t>
      </w:r>
      <w:r>
        <w:t>us</w:t>
      </w:r>
      <w:r>
        <w:rPr>
          <w:spacing w:val="-4"/>
        </w:rPr>
        <w:t xml:space="preserve"> </w:t>
      </w:r>
      <w:r>
        <w:t>in</w:t>
      </w:r>
      <w:r>
        <w:rPr>
          <w:spacing w:val="-3"/>
        </w:rPr>
        <w:t xml:space="preserve"> </w:t>
      </w:r>
      <w:r>
        <w:t>writing</w:t>
      </w:r>
      <w:r>
        <w:rPr>
          <w:spacing w:val="-4"/>
        </w:rPr>
        <w:t xml:space="preserve"> </w:t>
      </w:r>
      <w:r>
        <w:t>when</w:t>
      </w:r>
      <w:r>
        <w:rPr>
          <w:spacing w:val="-3"/>
        </w:rPr>
        <w:t xml:space="preserve"> </w:t>
      </w:r>
      <w:r>
        <w:t>the</w:t>
      </w:r>
      <w:r>
        <w:rPr>
          <w:spacing w:val="-4"/>
        </w:rPr>
        <w:t xml:space="preserve"> </w:t>
      </w:r>
      <w:r>
        <w:t>property</w:t>
      </w:r>
      <w:r>
        <w:rPr>
          <w:spacing w:val="-3"/>
        </w:rPr>
        <w:t xml:space="preserve"> </w:t>
      </w:r>
      <w:r>
        <w:t>will</w:t>
      </w:r>
      <w:r>
        <w:rPr>
          <w:spacing w:val="-4"/>
        </w:rPr>
        <w:t xml:space="preserve"> </w:t>
      </w:r>
      <w:r>
        <w:t>be</w:t>
      </w:r>
      <w:r>
        <w:rPr>
          <w:spacing w:val="-3"/>
        </w:rPr>
        <w:t xml:space="preserve"> </w:t>
      </w:r>
      <w:r>
        <w:t>left</w:t>
      </w:r>
      <w:r>
        <w:rPr>
          <w:spacing w:val="-4"/>
        </w:rPr>
        <w:t xml:space="preserve"> </w:t>
      </w:r>
      <w:r>
        <w:t>vacant</w:t>
      </w:r>
      <w:r>
        <w:rPr>
          <w:spacing w:val="-3"/>
        </w:rPr>
        <w:t xml:space="preserve"> </w:t>
      </w:r>
      <w:r>
        <w:t>for</w:t>
      </w:r>
      <w:r>
        <w:rPr>
          <w:spacing w:val="-4"/>
        </w:rPr>
        <w:t xml:space="preserve"> </w:t>
      </w:r>
      <w:r>
        <w:t>more</w:t>
      </w:r>
      <w:r>
        <w:rPr>
          <w:spacing w:val="-3"/>
        </w:rPr>
        <w:t xml:space="preserve"> </w:t>
      </w:r>
      <w:r>
        <w:t>than</w:t>
      </w:r>
      <w:r>
        <w:rPr>
          <w:spacing w:val="-4"/>
        </w:rPr>
        <w:t xml:space="preserve"> </w:t>
      </w:r>
      <w:r>
        <w:t>14</w:t>
      </w:r>
      <w:r>
        <w:rPr>
          <w:spacing w:val="-1"/>
        </w:rPr>
        <w:t xml:space="preserve"> </w:t>
      </w:r>
      <w:r>
        <w:t>days. During cold periods the property should not be left empty overnight without any</w:t>
      </w:r>
      <w:r>
        <w:rPr>
          <w:spacing w:val="10"/>
        </w:rPr>
        <w:t xml:space="preserve"> </w:t>
      </w:r>
      <w:r>
        <w:t>heating</w:t>
      </w:r>
    </w:p>
    <w:p w14:paraId="0EE00DAC" w14:textId="77777777" w:rsidR="006567DF" w:rsidRDefault="006567DF">
      <w:pPr>
        <w:spacing w:line="247" w:lineRule="auto"/>
        <w:jc w:val="both"/>
        <w:sectPr w:rsidR="006567DF" w:rsidSect="00CA62BC">
          <w:pgSz w:w="11900" w:h="16840"/>
          <w:pgMar w:top="740" w:right="1280" w:bottom="280" w:left="1320" w:header="720" w:footer="720" w:gutter="0"/>
          <w:cols w:space="720"/>
        </w:sectPr>
      </w:pPr>
    </w:p>
    <w:p w14:paraId="0EE00DAD" w14:textId="77777777" w:rsidR="006567DF" w:rsidRDefault="00000000">
      <w:pPr>
        <w:pStyle w:val="BodyText"/>
        <w:spacing w:before="72" w:line="247" w:lineRule="auto"/>
        <w:ind w:left="123" w:right="144"/>
        <w:jc w:val="both"/>
      </w:pPr>
      <w:r>
        <w:lastRenderedPageBreak/>
        <w:t>due to the risk of freezing and bursting pipes. Water should be turned off at the main stopcock when a property is left empty during winter months.</w:t>
      </w:r>
    </w:p>
    <w:p w14:paraId="0EE00DAE" w14:textId="77777777" w:rsidR="006567DF" w:rsidRDefault="006567DF">
      <w:pPr>
        <w:pStyle w:val="BodyText"/>
        <w:spacing w:before="2"/>
        <w:rPr>
          <w:sz w:val="23"/>
        </w:rPr>
      </w:pPr>
    </w:p>
    <w:p w14:paraId="0EE00DAF" w14:textId="77777777" w:rsidR="006567DF" w:rsidRDefault="00000000">
      <w:pPr>
        <w:pStyle w:val="Heading1"/>
        <w:jc w:val="both"/>
      </w:pPr>
      <w:r>
        <w:rPr>
          <w:color w:val="3E5019"/>
        </w:rPr>
        <w:t>Maintenance and repairs</w:t>
      </w:r>
    </w:p>
    <w:p w14:paraId="0EE00DB0" w14:textId="77777777" w:rsidR="006567DF" w:rsidRDefault="00000000">
      <w:pPr>
        <w:pStyle w:val="BodyText"/>
        <w:spacing w:before="16" w:line="249" w:lineRule="auto"/>
        <w:ind w:left="123" w:right="143" w:hanging="10"/>
        <w:jc w:val="both"/>
      </w:pPr>
      <w:r>
        <w:t>You must contact us immediately in respect of any maintenance problem. The Landlord</w:t>
      </w:r>
      <w:r>
        <w:rPr>
          <w:spacing w:val="-40"/>
        </w:rPr>
        <w:t xml:space="preserve"> </w:t>
      </w:r>
      <w:r>
        <w:t>is responsible for the fabric and services of the building, plus any fixtures and fittings such as kitchen appliances, except in the instance whereby the damage or fault has arisen</w:t>
      </w:r>
      <w:r>
        <w:rPr>
          <w:spacing w:val="-31"/>
        </w:rPr>
        <w:t xml:space="preserve"> </w:t>
      </w:r>
      <w:r>
        <w:rPr>
          <w:spacing w:val="-2"/>
        </w:rPr>
        <w:t xml:space="preserve">due </w:t>
      </w:r>
      <w:r>
        <w:t>to neglect or misuse. Expenses incurred without prior approval may not be</w:t>
      </w:r>
      <w:r>
        <w:rPr>
          <w:spacing w:val="-23"/>
        </w:rPr>
        <w:t xml:space="preserve"> </w:t>
      </w:r>
      <w:r>
        <w:t>refunded.</w:t>
      </w:r>
    </w:p>
    <w:p w14:paraId="0EE00DB1" w14:textId="77777777" w:rsidR="006567DF" w:rsidRDefault="006567DF">
      <w:pPr>
        <w:pStyle w:val="BodyText"/>
        <w:spacing w:before="1"/>
        <w:rPr>
          <w:sz w:val="19"/>
        </w:rPr>
      </w:pPr>
    </w:p>
    <w:p w14:paraId="0EE00DB2" w14:textId="77777777" w:rsidR="006567DF" w:rsidRDefault="00000000">
      <w:pPr>
        <w:pStyle w:val="BodyText"/>
        <w:spacing w:line="249" w:lineRule="auto"/>
        <w:ind w:left="123" w:right="143" w:hanging="10"/>
        <w:jc w:val="both"/>
      </w:pPr>
      <w:r>
        <w:t xml:space="preserve">We have access to maintenance people and </w:t>
      </w:r>
      <w:proofErr w:type="gramStart"/>
      <w:r>
        <w:t>are able to</w:t>
      </w:r>
      <w:proofErr w:type="gramEnd"/>
      <w:r>
        <w:t xml:space="preserve"> respond quickly to reported problems, subject to the necessary authority from the landlord. You will appreciate that we are the custodians of the landlord’s money and, as such, there are occasions when</w:t>
      </w:r>
      <w:r>
        <w:rPr>
          <w:spacing w:val="-49"/>
        </w:rPr>
        <w:t xml:space="preserve"> </w:t>
      </w:r>
      <w:r>
        <w:t>we need to speak to the landlord for specific</w:t>
      </w:r>
      <w:r>
        <w:rPr>
          <w:spacing w:val="-14"/>
        </w:rPr>
        <w:t xml:space="preserve"> </w:t>
      </w:r>
      <w:r>
        <w:t>instructions.</w:t>
      </w:r>
    </w:p>
    <w:p w14:paraId="0EE00DB3" w14:textId="77777777" w:rsidR="006567DF" w:rsidRDefault="006567DF">
      <w:pPr>
        <w:pStyle w:val="BodyText"/>
        <w:spacing w:before="6"/>
        <w:rPr>
          <w:sz w:val="19"/>
        </w:rPr>
      </w:pPr>
    </w:p>
    <w:p w14:paraId="0EE00DB4" w14:textId="77777777" w:rsidR="006567DF" w:rsidRDefault="00000000">
      <w:pPr>
        <w:pStyle w:val="BodyText"/>
        <w:spacing w:line="247" w:lineRule="auto"/>
        <w:ind w:left="123" w:right="143" w:hanging="10"/>
        <w:jc w:val="both"/>
      </w:pPr>
      <w:r>
        <w:t>If the property has gas an annual safety check is required by law. You will be expected to allow our appointed engineer reasonable access.</w:t>
      </w:r>
    </w:p>
    <w:p w14:paraId="0EE00DB5" w14:textId="77777777" w:rsidR="006567DF" w:rsidRDefault="006567DF">
      <w:pPr>
        <w:pStyle w:val="BodyText"/>
        <w:spacing w:before="7"/>
        <w:rPr>
          <w:sz w:val="19"/>
        </w:rPr>
      </w:pPr>
    </w:p>
    <w:p w14:paraId="0EE00DB6" w14:textId="77777777" w:rsidR="006567DF" w:rsidRDefault="00000000">
      <w:pPr>
        <w:pStyle w:val="Heading1"/>
        <w:spacing w:before="1"/>
        <w:jc w:val="both"/>
      </w:pPr>
      <w:r>
        <w:rPr>
          <w:color w:val="3E5019"/>
        </w:rPr>
        <w:t>End of Tenancy</w:t>
      </w:r>
    </w:p>
    <w:p w14:paraId="0EE00DB7" w14:textId="77777777" w:rsidR="006567DF" w:rsidRDefault="00000000">
      <w:pPr>
        <w:pStyle w:val="BodyText"/>
        <w:spacing w:before="16" w:line="252" w:lineRule="auto"/>
        <w:ind w:left="123" w:right="144" w:hanging="10"/>
        <w:jc w:val="both"/>
      </w:pPr>
      <w:r>
        <w:t>When you wish to vacate the property, you must give one month’s notice in writing to be received at our office no later than two working days after the date of the notice.</w:t>
      </w:r>
    </w:p>
    <w:p w14:paraId="0EE00DB8" w14:textId="77777777" w:rsidR="006567DF" w:rsidRDefault="006567DF">
      <w:pPr>
        <w:pStyle w:val="BodyText"/>
        <w:spacing w:before="10"/>
        <w:rPr>
          <w:sz w:val="18"/>
        </w:rPr>
      </w:pPr>
    </w:p>
    <w:p w14:paraId="0EE00DB9" w14:textId="77777777" w:rsidR="006567DF" w:rsidRDefault="00000000">
      <w:pPr>
        <w:pStyle w:val="BodyText"/>
        <w:spacing w:line="249" w:lineRule="auto"/>
        <w:ind w:left="123" w:right="142" w:hanging="10"/>
        <w:jc w:val="both"/>
      </w:pPr>
      <w:r>
        <w:t xml:space="preserve">If, for whatever reason, you need to vacate the property during a fixed term then we will </w:t>
      </w:r>
      <w:proofErr w:type="spellStart"/>
      <w:r>
        <w:t>endeavour</w:t>
      </w:r>
      <w:proofErr w:type="spellEnd"/>
      <w:r>
        <w:rPr>
          <w:spacing w:val="-13"/>
        </w:rPr>
        <w:t xml:space="preserve"> </w:t>
      </w:r>
      <w:r>
        <w:t>to</w:t>
      </w:r>
      <w:r>
        <w:rPr>
          <w:spacing w:val="-14"/>
        </w:rPr>
        <w:t xml:space="preserve"> </w:t>
      </w:r>
      <w:r>
        <w:t>re-let</w:t>
      </w:r>
      <w:r>
        <w:rPr>
          <w:spacing w:val="-13"/>
        </w:rPr>
        <w:t xml:space="preserve"> </w:t>
      </w:r>
      <w:r>
        <w:t>the</w:t>
      </w:r>
      <w:r>
        <w:rPr>
          <w:spacing w:val="-14"/>
        </w:rPr>
        <w:t xml:space="preserve"> </w:t>
      </w:r>
      <w:r>
        <w:t>property</w:t>
      </w:r>
      <w:r>
        <w:rPr>
          <w:spacing w:val="-14"/>
        </w:rPr>
        <w:t xml:space="preserve"> </w:t>
      </w:r>
      <w:r>
        <w:t>(with</w:t>
      </w:r>
      <w:r>
        <w:rPr>
          <w:spacing w:val="-14"/>
        </w:rPr>
        <w:t xml:space="preserve"> </w:t>
      </w:r>
      <w:r>
        <w:t>the</w:t>
      </w:r>
      <w:r>
        <w:rPr>
          <w:spacing w:val="-14"/>
        </w:rPr>
        <w:t xml:space="preserve"> </w:t>
      </w:r>
      <w:r>
        <w:t>Landlord’s</w:t>
      </w:r>
      <w:r>
        <w:rPr>
          <w:spacing w:val="-14"/>
        </w:rPr>
        <w:t xml:space="preserve"> </w:t>
      </w:r>
      <w:r>
        <w:t>prior</w:t>
      </w:r>
      <w:r>
        <w:rPr>
          <w:spacing w:val="-13"/>
        </w:rPr>
        <w:t xml:space="preserve"> </w:t>
      </w:r>
      <w:r>
        <w:t>consent),</w:t>
      </w:r>
      <w:r>
        <w:rPr>
          <w:spacing w:val="-13"/>
        </w:rPr>
        <w:t xml:space="preserve"> </w:t>
      </w:r>
      <w:r>
        <w:t>thereby</w:t>
      </w:r>
      <w:r>
        <w:rPr>
          <w:spacing w:val="-13"/>
        </w:rPr>
        <w:t xml:space="preserve"> </w:t>
      </w:r>
      <w:r>
        <w:t>releasing</w:t>
      </w:r>
      <w:r>
        <w:rPr>
          <w:spacing w:val="-14"/>
        </w:rPr>
        <w:t xml:space="preserve"> </w:t>
      </w:r>
      <w:r>
        <w:t>you from your ongoing liability. There is an early release administration charge to offset</w:t>
      </w:r>
      <w:r>
        <w:rPr>
          <w:spacing w:val="-46"/>
        </w:rPr>
        <w:t xml:space="preserve"> </w:t>
      </w:r>
      <w:r>
        <w:t>some of our additional</w:t>
      </w:r>
      <w:r>
        <w:rPr>
          <w:spacing w:val="-3"/>
        </w:rPr>
        <w:t xml:space="preserve"> </w:t>
      </w:r>
      <w:r>
        <w:t>costs.</w:t>
      </w:r>
    </w:p>
    <w:p w14:paraId="0EE00DBA" w14:textId="77777777" w:rsidR="006567DF" w:rsidRDefault="006567DF">
      <w:pPr>
        <w:pStyle w:val="BodyText"/>
        <w:spacing w:before="1"/>
        <w:rPr>
          <w:sz w:val="19"/>
        </w:rPr>
      </w:pPr>
    </w:p>
    <w:p w14:paraId="0EE00DBB" w14:textId="77777777" w:rsidR="006567DF" w:rsidRDefault="00000000">
      <w:pPr>
        <w:pStyle w:val="BodyText"/>
        <w:spacing w:line="249" w:lineRule="auto"/>
        <w:ind w:left="123" w:right="143" w:hanging="10"/>
        <w:jc w:val="both"/>
      </w:pPr>
      <w:r>
        <w:t>Keys must be returned to our offices on, or before, the day of vacating the property together</w:t>
      </w:r>
      <w:r>
        <w:rPr>
          <w:spacing w:val="-18"/>
        </w:rPr>
        <w:t xml:space="preserve"> </w:t>
      </w:r>
      <w:r>
        <w:t>with</w:t>
      </w:r>
      <w:r>
        <w:rPr>
          <w:spacing w:val="-17"/>
        </w:rPr>
        <w:t xml:space="preserve"> </w:t>
      </w:r>
      <w:r>
        <w:t>a</w:t>
      </w:r>
      <w:r>
        <w:rPr>
          <w:spacing w:val="-17"/>
        </w:rPr>
        <w:t xml:space="preserve"> </w:t>
      </w:r>
      <w:r>
        <w:t>forwarding</w:t>
      </w:r>
      <w:r>
        <w:rPr>
          <w:spacing w:val="-17"/>
        </w:rPr>
        <w:t xml:space="preserve"> </w:t>
      </w:r>
      <w:r>
        <w:t>address.</w:t>
      </w:r>
      <w:r>
        <w:rPr>
          <w:spacing w:val="-17"/>
        </w:rPr>
        <w:t xml:space="preserve"> </w:t>
      </w:r>
      <w:r>
        <w:t>Failure</w:t>
      </w:r>
      <w:r>
        <w:rPr>
          <w:spacing w:val="-17"/>
        </w:rPr>
        <w:t xml:space="preserve"> </w:t>
      </w:r>
      <w:r>
        <w:t>to</w:t>
      </w:r>
      <w:r>
        <w:rPr>
          <w:spacing w:val="-18"/>
        </w:rPr>
        <w:t xml:space="preserve"> </w:t>
      </w:r>
      <w:r>
        <w:t>return</w:t>
      </w:r>
      <w:r>
        <w:rPr>
          <w:spacing w:val="-17"/>
        </w:rPr>
        <w:t xml:space="preserve"> </w:t>
      </w:r>
      <w:r>
        <w:t>keys</w:t>
      </w:r>
      <w:r>
        <w:rPr>
          <w:spacing w:val="-17"/>
        </w:rPr>
        <w:t xml:space="preserve"> </w:t>
      </w:r>
      <w:r>
        <w:t>will</w:t>
      </w:r>
      <w:r>
        <w:rPr>
          <w:spacing w:val="-15"/>
        </w:rPr>
        <w:t xml:space="preserve"> </w:t>
      </w:r>
      <w:r>
        <w:t>result</w:t>
      </w:r>
      <w:r>
        <w:rPr>
          <w:spacing w:val="-17"/>
        </w:rPr>
        <w:t xml:space="preserve"> </w:t>
      </w:r>
      <w:r>
        <w:t>in</w:t>
      </w:r>
      <w:r>
        <w:rPr>
          <w:spacing w:val="-17"/>
        </w:rPr>
        <w:t xml:space="preserve"> </w:t>
      </w:r>
      <w:r>
        <w:t>a</w:t>
      </w:r>
      <w:r>
        <w:rPr>
          <w:spacing w:val="-17"/>
        </w:rPr>
        <w:t xml:space="preserve"> </w:t>
      </w:r>
      <w:r>
        <w:t>continuing</w:t>
      </w:r>
      <w:r>
        <w:rPr>
          <w:spacing w:val="-18"/>
        </w:rPr>
        <w:t xml:space="preserve"> </w:t>
      </w:r>
      <w:r>
        <w:t>liability for</w:t>
      </w:r>
      <w:r>
        <w:rPr>
          <w:spacing w:val="-2"/>
        </w:rPr>
        <w:t xml:space="preserve"> </w:t>
      </w:r>
      <w:r>
        <w:t>rent.</w:t>
      </w:r>
    </w:p>
    <w:p w14:paraId="0EE00DBC" w14:textId="77777777" w:rsidR="006567DF" w:rsidRDefault="006567DF">
      <w:pPr>
        <w:pStyle w:val="BodyText"/>
        <w:spacing w:before="4"/>
        <w:rPr>
          <w:sz w:val="19"/>
        </w:rPr>
      </w:pPr>
    </w:p>
    <w:p w14:paraId="0EE00DBD" w14:textId="77777777" w:rsidR="006567DF" w:rsidRDefault="00000000">
      <w:pPr>
        <w:pStyle w:val="BodyText"/>
        <w:spacing w:line="249" w:lineRule="auto"/>
        <w:ind w:left="123" w:right="142" w:hanging="10"/>
        <w:jc w:val="both"/>
      </w:pPr>
      <w:r>
        <w:t>An</w:t>
      </w:r>
      <w:r>
        <w:rPr>
          <w:spacing w:val="-11"/>
        </w:rPr>
        <w:t xml:space="preserve"> </w:t>
      </w:r>
      <w:r>
        <w:t>end</w:t>
      </w:r>
      <w:r>
        <w:rPr>
          <w:spacing w:val="-11"/>
        </w:rPr>
        <w:t xml:space="preserve"> </w:t>
      </w:r>
      <w:r>
        <w:t>of</w:t>
      </w:r>
      <w:r>
        <w:rPr>
          <w:spacing w:val="-11"/>
        </w:rPr>
        <w:t xml:space="preserve"> </w:t>
      </w:r>
      <w:r>
        <w:t>tenancy</w:t>
      </w:r>
      <w:r>
        <w:rPr>
          <w:spacing w:val="-11"/>
        </w:rPr>
        <w:t xml:space="preserve"> </w:t>
      </w:r>
      <w:r>
        <w:t>inspection</w:t>
      </w:r>
      <w:r>
        <w:rPr>
          <w:spacing w:val="-11"/>
        </w:rPr>
        <w:t xml:space="preserve"> </w:t>
      </w:r>
      <w:r>
        <w:t>will</w:t>
      </w:r>
      <w:r>
        <w:rPr>
          <w:spacing w:val="-10"/>
        </w:rPr>
        <w:t xml:space="preserve"> </w:t>
      </w:r>
      <w:r>
        <w:t>be</w:t>
      </w:r>
      <w:r>
        <w:rPr>
          <w:spacing w:val="-11"/>
        </w:rPr>
        <w:t xml:space="preserve"> </w:t>
      </w:r>
      <w:r>
        <w:t>carried</w:t>
      </w:r>
      <w:r>
        <w:rPr>
          <w:spacing w:val="-11"/>
        </w:rPr>
        <w:t xml:space="preserve"> </w:t>
      </w:r>
      <w:r>
        <w:t>out</w:t>
      </w:r>
      <w:r>
        <w:rPr>
          <w:spacing w:val="-11"/>
        </w:rPr>
        <w:t xml:space="preserve"> </w:t>
      </w:r>
      <w:r>
        <w:t>by</w:t>
      </w:r>
      <w:r>
        <w:rPr>
          <w:spacing w:val="-11"/>
        </w:rPr>
        <w:t xml:space="preserve"> </w:t>
      </w:r>
      <w:proofErr w:type="gramStart"/>
      <w:r>
        <w:t>us</w:t>
      </w:r>
      <w:proofErr w:type="gramEnd"/>
      <w:r>
        <w:rPr>
          <w:spacing w:val="-10"/>
        </w:rPr>
        <w:t xml:space="preserve"> </w:t>
      </w:r>
      <w:r>
        <w:t>and</w:t>
      </w:r>
      <w:r>
        <w:rPr>
          <w:spacing w:val="-11"/>
        </w:rPr>
        <w:t xml:space="preserve"> </w:t>
      </w:r>
      <w:r>
        <w:t>you</w:t>
      </w:r>
      <w:r>
        <w:rPr>
          <w:spacing w:val="-11"/>
        </w:rPr>
        <w:t xml:space="preserve"> </w:t>
      </w:r>
      <w:r>
        <w:t>will</w:t>
      </w:r>
      <w:r>
        <w:rPr>
          <w:spacing w:val="-11"/>
        </w:rPr>
        <w:t xml:space="preserve"> </w:t>
      </w:r>
      <w:r>
        <w:t>be</w:t>
      </w:r>
      <w:r>
        <w:rPr>
          <w:spacing w:val="-11"/>
        </w:rPr>
        <w:t xml:space="preserve"> </w:t>
      </w:r>
      <w:r>
        <w:t>notified</w:t>
      </w:r>
      <w:r>
        <w:rPr>
          <w:spacing w:val="-10"/>
        </w:rPr>
        <w:t xml:space="preserve"> </w:t>
      </w:r>
      <w:r>
        <w:t>of</w:t>
      </w:r>
      <w:r>
        <w:rPr>
          <w:spacing w:val="-11"/>
        </w:rPr>
        <w:t xml:space="preserve"> </w:t>
      </w:r>
      <w:r>
        <w:t>any</w:t>
      </w:r>
      <w:r>
        <w:rPr>
          <w:spacing w:val="-11"/>
        </w:rPr>
        <w:t xml:space="preserve"> </w:t>
      </w:r>
      <w:r>
        <w:t>faults. During this inspection electricity, gas and water meter readings will be taken and we will notify the service provider of the end of your tenancy and</w:t>
      </w:r>
      <w:r>
        <w:rPr>
          <w:spacing w:val="-17"/>
        </w:rPr>
        <w:t xml:space="preserve"> </w:t>
      </w:r>
      <w:r>
        <w:t>liability.</w:t>
      </w:r>
    </w:p>
    <w:p w14:paraId="0EE00DBE" w14:textId="77777777" w:rsidR="006567DF" w:rsidRDefault="006567DF">
      <w:pPr>
        <w:pStyle w:val="BodyText"/>
      </w:pPr>
    </w:p>
    <w:p w14:paraId="0EE00DBF" w14:textId="77777777" w:rsidR="006567DF" w:rsidRDefault="006567DF">
      <w:pPr>
        <w:pStyle w:val="BodyText"/>
      </w:pPr>
    </w:p>
    <w:p w14:paraId="0EE00DC0" w14:textId="77777777" w:rsidR="006567DF" w:rsidRDefault="006567DF">
      <w:pPr>
        <w:pStyle w:val="BodyText"/>
      </w:pPr>
    </w:p>
    <w:p w14:paraId="0EE00DC1" w14:textId="77777777" w:rsidR="006567DF" w:rsidRDefault="006567DF">
      <w:pPr>
        <w:pStyle w:val="BodyText"/>
      </w:pPr>
    </w:p>
    <w:p w14:paraId="0EE00DC2" w14:textId="77777777" w:rsidR="006567DF" w:rsidRDefault="006567DF">
      <w:pPr>
        <w:pStyle w:val="BodyText"/>
      </w:pPr>
    </w:p>
    <w:p w14:paraId="0EE00DC3" w14:textId="77777777" w:rsidR="006567DF" w:rsidRDefault="006567DF">
      <w:pPr>
        <w:pStyle w:val="BodyText"/>
      </w:pPr>
    </w:p>
    <w:p w14:paraId="0EE00DC4" w14:textId="77777777" w:rsidR="006567DF" w:rsidRDefault="006567DF">
      <w:pPr>
        <w:pStyle w:val="BodyText"/>
      </w:pPr>
    </w:p>
    <w:p w14:paraId="0EE00DC5" w14:textId="77777777" w:rsidR="006567DF" w:rsidRDefault="006567DF">
      <w:pPr>
        <w:pStyle w:val="BodyText"/>
      </w:pPr>
    </w:p>
    <w:p w14:paraId="0EE00DC6" w14:textId="77777777" w:rsidR="006567DF" w:rsidRDefault="006567DF">
      <w:pPr>
        <w:pStyle w:val="BodyText"/>
      </w:pPr>
    </w:p>
    <w:p w14:paraId="0EE00DC7" w14:textId="77777777" w:rsidR="006567DF" w:rsidRDefault="006567DF">
      <w:pPr>
        <w:pStyle w:val="BodyText"/>
      </w:pPr>
    </w:p>
    <w:p w14:paraId="0EE00DC8" w14:textId="77777777" w:rsidR="006567DF" w:rsidRDefault="006567DF">
      <w:pPr>
        <w:pStyle w:val="BodyText"/>
      </w:pPr>
    </w:p>
    <w:p w14:paraId="0EE00DC9" w14:textId="77777777" w:rsidR="006567DF" w:rsidRDefault="00000000">
      <w:pPr>
        <w:pStyle w:val="BodyText"/>
        <w:spacing w:before="8"/>
        <w:rPr>
          <w:sz w:val="13"/>
        </w:rPr>
      </w:pPr>
      <w:r>
        <w:rPr>
          <w:noProof/>
        </w:rPr>
        <w:drawing>
          <wp:anchor distT="0" distB="0" distL="0" distR="0" simplePos="0" relativeHeight="251658240" behindDoc="0" locked="0" layoutInCell="1" allowOverlap="1" wp14:anchorId="0EE00DCC" wp14:editId="0EE00DCD">
            <wp:simplePos x="0" y="0"/>
            <wp:positionH relativeFrom="page">
              <wp:posOffset>903897</wp:posOffset>
            </wp:positionH>
            <wp:positionV relativeFrom="paragraph">
              <wp:posOffset>681721</wp:posOffset>
            </wp:positionV>
            <wp:extent cx="999744" cy="105156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99744" cy="1051560"/>
                    </a:xfrm>
                    <a:prstGeom prst="rect">
                      <a:avLst/>
                    </a:prstGeom>
                  </pic:spPr>
                </pic:pic>
              </a:graphicData>
            </a:graphic>
          </wp:anchor>
        </w:drawing>
      </w:r>
      <w:r>
        <w:rPr>
          <w:noProof/>
        </w:rPr>
        <w:drawing>
          <wp:anchor distT="0" distB="0" distL="0" distR="0" simplePos="0" relativeHeight="251659264" behindDoc="0" locked="0" layoutInCell="1" allowOverlap="1" wp14:anchorId="0EE00DCE" wp14:editId="0EE00DCF">
            <wp:simplePos x="0" y="0"/>
            <wp:positionH relativeFrom="page">
              <wp:posOffset>2671735</wp:posOffset>
            </wp:positionH>
            <wp:positionV relativeFrom="paragraph">
              <wp:posOffset>162292</wp:posOffset>
            </wp:positionV>
            <wp:extent cx="1429327" cy="14478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429327" cy="1447800"/>
                    </a:xfrm>
                    <a:prstGeom prst="rect">
                      <a:avLst/>
                    </a:prstGeom>
                  </pic:spPr>
                </pic:pic>
              </a:graphicData>
            </a:graphic>
          </wp:anchor>
        </w:drawing>
      </w:r>
      <w:r>
        <w:rPr>
          <w:noProof/>
        </w:rPr>
        <w:drawing>
          <wp:anchor distT="0" distB="0" distL="0" distR="0" simplePos="0" relativeHeight="2" behindDoc="0" locked="0" layoutInCell="1" allowOverlap="1" wp14:anchorId="0EE00DD0" wp14:editId="0EE00DD1">
            <wp:simplePos x="0" y="0"/>
            <wp:positionH relativeFrom="page">
              <wp:posOffset>5074578</wp:posOffset>
            </wp:positionH>
            <wp:positionV relativeFrom="paragraph">
              <wp:posOffset>130541</wp:posOffset>
            </wp:positionV>
            <wp:extent cx="1553146" cy="155314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1553146" cy="1553146"/>
                    </a:xfrm>
                    <a:prstGeom prst="rect">
                      <a:avLst/>
                    </a:prstGeom>
                  </pic:spPr>
                </pic:pic>
              </a:graphicData>
            </a:graphic>
          </wp:anchor>
        </w:drawing>
      </w:r>
    </w:p>
    <w:sectPr w:rsidR="006567DF">
      <w:pgSz w:w="11900" w:h="16840"/>
      <w:pgMar w:top="740" w:right="12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0375F"/>
    <w:multiLevelType w:val="hybridMultilevel"/>
    <w:tmpl w:val="E2A68FD0"/>
    <w:lvl w:ilvl="0" w:tplc="C8002DC4">
      <w:numFmt w:val="bullet"/>
      <w:lvlText w:val="-"/>
      <w:lvlJc w:val="left"/>
      <w:pPr>
        <w:ind w:left="488" w:hanging="360"/>
      </w:pPr>
      <w:rPr>
        <w:rFonts w:ascii="Verdana" w:eastAsia="Verdana" w:hAnsi="Verdana" w:cs="Verdana" w:hint="default"/>
        <w:w w:val="100"/>
        <w:sz w:val="20"/>
        <w:szCs w:val="20"/>
      </w:rPr>
    </w:lvl>
    <w:lvl w:ilvl="1" w:tplc="3754F73E">
      <w:numFmt w:val="bullet"/>
      <w:lvlText w:val="•"/>
      <w:lvlJc w:val="left"/>
      <w:pPr>
        <w:ind w:left="1362" w:hanging="360"/>
      </w:pPr>
      <w:rPr>
        <w:rFonts w:hint="default"/>
      </w:rPr>
    </w:lvl>
    <w:lvl w:ilvl="2" w:tplc="A80A015C">
      <w:numFmt w:val="bullet"/>
      <w:lvlText w:val="•"/>
      <w:lvlJc w:val="left"/>
      <w:pPr>
        <w:ind w:left="2244" w:hanging="360"/>
      </w:pPr>
      <w:rPr>
        <w:rFonts w:hint="default"/>
      </w:rPr>
    </w:lvl>
    <w:lvl w:ilvl="3" w:tplc="A5C60C88">
      <w:numFmt w:val="bullet"/>
      <w:lvlText w:val="•"/>
      <w:lvlJc w:val="left"/>
      <w:pPr>
        <w:ind w:left="3126" w:hanging="360"/>
      </w:pPr>
      <w:rPr>
        <w:rFonts w:hint="default"/>
      </w:rPr>
    </w:lvl>
    <w:lvl w:ilvl="4" w:tplc="412A3812">
      <w:numFmt w:val="bullet"/>
      <w:lvlText w:val="•"/>
      <w:lvlJc w:val="left"/>
      <w:pPr>
        <w:ind w:left="4008" w:hanging="360"/>
      </w:pPr>
      <w:rPr>
        <w:rFonts w:hint="default"/>
      </w:rPr>
    </w:lvl>
    <w:lvl w:ilvl="5" w:tplc="84FE700C">
      <w:numFmt w:val="bullet"/>
      <w:lvlText w:val="•"/>
      <w:lvlJc w:val="left"/>
      <w:pPr>
        <w:ind w:left="4890" w:hanging="360"/>
      </w:pPr>
      <w:rPr>
        <w:rFonts w:hint="default"/>
      </w:rPr>
    </w:lvl>
    <w:lvl w:ilvl="6" w:tplc="E60AB604">
      <w:numFmt w:val="bullet"/>
      <w:lvlText w:val="•"/>
      <w:lvlJc w:val="left"/>
      <w:pPr>
        <w:ind w:left="5772" w:hanging="360"/>
      </w:pPr>
      <w:rPr>
        <w:rFonts w:hint="default"/>
      </w:rPr>
    </w:lvl>
    <w:lvl w:ilvl="7" w:tplc="28B2A7FA">
      <w:numFmt w:val="bullet"/>
      <w:lvlText w:val="•"/>
      <w:lvlJc w:val="left"/>
      <w:pPr>
        <w:ind w:left="6654" w:hanging="360"/>
      </w:pPr>
      <w:rPr>
        <w:rFonts w:hint="default"/>
      </w:rPr>
    </w:lvl>
    <w:lvl w:ilvl="8" w:tplc="A0E61474">
      <w:numFmt w:val="bullet"/>
      <w:lvlText w:val="•"/>
      <w:lvlJc w:val="left"/>
      <w:pPr>
        <w:ind w:left="7536" w:hanging="360"/>
      </w:pPr>
      <w:rPr>
        <w:rFonts w:hint="default"/>
      </w:rPr>
    </w:lvl>
  </w:abstractNum>
  <w:num w:numId="1" w16cid:durableId="69450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567DF"/>
    <w:rsid w:val="00086EF0"/>
    <w:rsid w:val="00313C96"/>
    <w:rsid w:val="006567DF"/>
    <w:rsid w:val="008051BF"/>
    <w:rsid w:val="00CA62BC"/>
    <w:rsid w:val="00E4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0D74"/>
  <w15:docId w15:val="{73F285E2-599A-D548-9E4E-510E0F81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7"/>
      <w:ind w:left="488" w:hanging="361"/>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313C96"/>
  </w:style>
  <w:style w:type="character" w:styleId="Hyperlink">
    <w:name w:val="Hyperlink"/>
    <w:basedOn w:val="DefaultParagraphFont"/>
    <w:uiPriority w:val="99"/>
    <w:semiHidden/>
    <w:unhideWhenUsed/>
    <w:rsid w:val="00313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on@clarkhomes.co.uk"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ww.gov.uk/government/publications/right-to-rent-document-checks-a-user-guide/right-to-rent-checks-a-guide-to-immigration-documents-for-tenants-and-landlords-accessi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DA710EB78954E8C4BB25823D0FC36" ma:contentTypeVersion="11" ma:contentTypeDescription="Create a new document." ma:contentTypeScope="" ma:versionID="c8a0a0ae30fbba9efad999f3071efa28">
  <xsd:schema xmlns:xsd="http://www.w3.org/2001/XMLSchema" xmlns:xs="http://www.w3.org/2001/XMLSchema" xmlns:p="http://schemas.microsoft.com/office/2006/metadata/properties" xmlns:ns2="57015de2-1b16-4e4a-93cc-dcd9d181deaf" xmlns:ns3="88b9f055-ee8e-49a2-9353-8c60af67276d" targetNamespace="http://schemas.microsoft.com/office/2006/metadata/properties" ma:root="true" ma:fieldsID="aa64d07f781101f7c647d0e79e944fd0" ns2:_="" ns3:_="">
    <xsd:import namespace="57015de2-1b16-4e4a-93cc-dcd9d181deaf"/>
    <xsd:import namespace="88b9f055-ee8e-49a2-9353-8c60af6727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15de2-1b16-4e4a-93cc-dcd9d181d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ebef5b-6f06-4946-aee3-7c469c6a6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b9f055-ee8e-49a2-9353-8c60af6727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f8a01b-d2e8-4df3-b7e4-c6f0ae45d769}" ma:internalName="TaxCatchAll" ma:showField="CatchAllData" ma:web="88b9f055-ee8e-49a2-9353-8c60af672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CF2CD-162B-48BE-8819-53CCF75A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15de2-1b16-4e4a-93cc-dcd9d181deaf"/>
    <ds:schemaRef ds:uri="88b9f055-ee8e-49a2-9353-8c60af672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868667-CCBE-47CD-91CF-8E74027AD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 Wheeler</cp:lastModifiedBy>
  <cp:revision>5</cp:revision>
  <cp:lastPrinted>2024-02-27T12:13:00Z</cp:lastPrinted>
  <dcterms:created xsi:type="dcterms:W3CDTF">2019-11-11T13:05:00Z</dcterms:created>
  <dcterms:modified xsi:type="dcterms:W3CDTF">2024-02-27T12:16:00Z</dcterms:modified>
</cp:coreProperties>
</file>